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6F843633" w:rsidR="00992E96" w:rsidRPr="00BB212B" w:rsidRDefault="00C9570B" w:rsidP="00173372">
      <w:pPr>
        <w:pStyle w:val="LGAItemNoHeading"/>
        <w:spacing w:before="240"/>
        <w:rPr>
          <w:rFonts w:ascii="Arial" w:hAnsi="Arial" w:cs="Arial"/>
          <w:sz w:val="28"/>
          <w:szCs w:val="28"/>
        </w:rPr>
      </w:pPr>
      <w:r>
        <w:rPr>
          <w:rFonts w:ascii="Arial" w:hAnsi="Arial" w:cs="Arial"/>
          <w:sz w:val="28"/>
          <w:szCs w:val="28"/>
        </w:rPr>
        <w:t>Workforce Report</w:t>
      </w:r>
      <w:r w:rsidR="00992E96">
        <w:rPr>
          <w:rFonts w:ascii="Arial" w:hAnsi="Arial" w:cs="Arial"/>
          <w:sz w:val="28"/>
          <w:szCs w:val="28"/>
        </w:rPr>
        <w:t xml:space="preserve"> </w:t>
      </w:r>
    </w:p>
    <w:p w14:paraId="3E832264" w14:textId="77777777" w:rsidR="00992E96" w:rsidRDefault="00992E96" w:rsidP="00173372">
      <w:pPr>
        <w:pStyle w:val="MainText"/>
        <w:spacing w:line="240" w:lineRule="auto"/>
        <w:rPr>
          <w:rFonts w:ascii="Arial" w:hAnsi="Arial" w:cs="Arial"/>
          <w:b/>
          <w:szCs w:val="22"/>
        </w:rPr>
      </w:pPr>
    </w:p>
    <w:p w14:paraId="3E832265" w14:textId="1ABDCFB4" w:rsidR="00992E96" w:rsidRDefault="00992E96" w:rsidP="00173372">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173372">
      <w:pPr>
        <w:pStyle w:val="MainText"/>
        <w:spacing w:line="240" w:lineRule="auto"/>
        <w:rPr>
          <w:rFonts w:ascii="Arial" w:hAnsi="Arial" w:cs="Arial"/>
          <w:b/>
          <w:szCs w:val="22"/>
        </w:rPr>
      </w:pPr>
    </w:p>
    <w:p w14:paraId="3E832267" w14:textId="526FC089" w:rsidR="00992E96" w:rsidRPr="00C9570B" w:rsidRDefault="00C9570B" w:rsidP="00173372">
      <w:pPr>
        <w:pStyle w:val="MainText"/>
        <w:spacing w:line="240" w:lineRule="auto"/>
        <w:rPr>
          <w:rFonts w:ascii="Arial" w:hAnsi="Arial" w:cs="Arial"/>
          <w:szCs w:val="22"/>
        </w:rPr>
      </w:pPr>
      <w:r>
        <w:rPr>
          <w:rFonts w:ascii="Arial" w:hAnsi="Arial" w:cs="Arial"/>
          <w:szCs w:val="22"/>
        </w:rPr>
        <w:t xml:space="preserve">To update the Fire </w:t>
      </w:r>
      <w:r w:rsidR="002664B3">
        <w:rPr>
          <w:rFonts w:ascii="Arial" w:hAnsi="Arial" w:cs="Arial"/>
          <w:szCs w:val="22"/>
        </w:rPr>
        <w:t>Commission</w:t>
      </w:r>
      <w:r>
        <w:rPr>
          <w:rFonts w:ascii="Arial" w:hAnsi="Arial" w:cs="Arial"/>
          <w:szCs w:val="22"/>
        </w:rPr>
        <w:t xml:space="preserve"> on matters in relation to fire service industrial relations and pension matters. </w:t>
      </w:r>
    </w:p>
    <w:p w14:paraId="3E832269" w14:textId="77777777" w:rsidR="00992E96" w:rsidRPr="0021114E" w:rsidRDefault="00992E96" w:rsidP="00173372">
      <w:pPr>
        <w:pStyle w:val="MainText"/>
        <w:spacing w:line="240" w:lineRule="auto"/>
        <w:rPr>
          <w:rFonts w:ascii="Arial" w:hAnsi="Arial" w:cs="Arial"/>
          <w:b/>
          <w:szCs w:val="22"/>
        </w:rPr>
      </w:pPr>
    </w:p>
    <w:p w14:paraId="3E83226A" w14:textId="77777777" w:rsidR="00992E96" w:rsidRPr="0021114E" w:rsidRDefault="00992E96" w:rsidP="00173372">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173372">
      <w:pPr>
        <w:pStyle w:val="MainText"/>
        <w:spacing w:line="240" w:lineRule="auto"/>
        <w:rPr>
          <w:rFonts w:ascii="Arial" w:hAnsi="Arial" w:cs="Arial"/>
          <w:szCs w:val="22"/>
        </w:rPr>
      </w:pPr>
    </w:p>
    <w:p w14:paraId="3E83226D" w14:textId="19457BAB" w:rsidR="00992E96" w:rsidRPr="00C9570B" w:rsidRDefault="002664B3" w:rsidP="00173372">
      <w:pPr>
        <w:pStyle w:val="MainText"/>
        <w:spacing w:line="240" w:lineRule="auto"/>
        <w:rPr>
          <w:rFonts w:ascii="Arial" w:hAnsi="Arial" w:cs="Arial"/>
          <w:szCs w:val="22"/>
        </w:rPr>
      </w:pPr>
      <w:r>
        <w:rPr>
          <w:rFonts w:ascii="Arial" w:hAnsi="Arial" w:cs="Arial"/>
          <w:szCs w:val="22"/>
        </w:rPr>
        <w:t>This paper briefly describes the main industrial relations and pension issues at present.</w:t>
      </w:r>
    </w:p>
    <w:p w14:paraId="3E83226E" w14:textId="77777777" w:rsidR="00992E96" w:rsidRPr="0021114E" w:rsidRDefault="00992E96" w:rsidP="00173372">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5E5985">
        <w:tc>
          <w:tcPr>
            <w:tcW w:w="9157" w:type="dxa"/>
          </w:tcPr>
          <w:p w14:paraId="3E83226F" w14:textId="7766FE9F" w:rsidR="00992E96" w:rsidRPr="0021114E" w:rsidRDefault="00992E96" w:rsidP="00173372">
            <w:pPr>
              <w:pStyle w:val="MainText"/>
              <w:spacing w:line="240" w:lineRule="auto"/>
              <w:rPr>
                <w:rFonts w:ascii="Arial" w:hAnsi="Arial" w:cs="Arial"/>
                <w:b/>
                <w:szCs w:val="22"/>
              </w:rPr>
            </w:pPr>
          </w:p>
          <w:p w14:paraId="3E832270" w14:textId="2EACE3FE" w:rsidR="00992E96" w:rsidRDefault="00992E96" w:rsidP="00173372">
            <w:pPr>
              <w:pStyle w:val="MainText"/>
              <w:spacing w:line="240" w:lineRule="auto"/>
              <w:rPr>
                <w:rFonts w:ascii="Arial" w:hAnsi="Arial" w:cs="Arial"/>
                <w:b/>
                <w:szCs w:val="22"/>
              </w:rPr>
            </w:pPr>
            <w:r w:rsidRPr="0021114E">
              <w:rPr>
                <w:rFonts w:ascii="Arial" w:hAnsi="Arial" w:cs="Arial"/>
                <w:b/>
                <w:szCs w:val="22"/>
              </w:rPr>
              <w:t>Recommendation</w:t>
            </w:r>
            <w:r w:rsidR="00C9570B">
              <w:rPr>
                <w:rFonts w:ascii="Arial" w:hAnsi="Arial" w:cs="Arial"/>
                <w:b/>
                <w:szCs w:val="22"/>
              </w:rPr>
              <w:t>:</w:t>
            </w:r>
          </w:p>
          <w:p w14:paraId="3E832271" w14:textId="77777777" w:rsidR="00992E96" w:rsidRPr="0021114E" w:rsidRDefault="00992E96" w:rsidP="00173372">
            <w:pPr>
              <w:pStyle w:val="MainText"/>
              <w:spacing w:line="240" w:lineRule="auto"/>
              <w:rPr>
                <w:rFonts w:ascii="Arial" w:hAnsi="Arial" w:cs="Arial"/>
                <w:szCs w:val="22"/>
              </w:rPr>
            </w:pPr>
          </w:p>
          <w:p w14:paraId="3E832276" w14:textId="0D1F8AF1" w:rsidR="00992E96" w:rsidRPr="00C9570B" w:rsidRDefault="00173372" w:rsidP="00173372">
            <w:pPr>
              <w:pStyle w:val="MainText"/>
              <w:spacing w:line="240" w:lineRule="auto"/>
              <w:rPr>
                <w:rFonts w:ascii="Arial" w:hAnsi="Arial" w:cs="Arial"/>
                <w:szCs w:val="22"/>
              </w:rPr>
            </w:pPr>
            <w:r>
              <w:rPr>
                <w:rFonts w:ascii="Arial" w:hAnsi="Arial" w:cs="Arial"/>
                <w:szCs w:val="22"/>
              </w:rPr>
              <w:t>That the</w:t>
            </w:r>
            <w:r w:rsidR="00C9570B">
              <w:rPr>
                <w:rFonts w:ascii="Arial" w:hAnsi="Arial" w:cs="Arial"/>
                <w:szCs w:val="22"/>
              </w:rPr>
              <w:t xml:space="preserve"> Fire </w:t>
            </w:r>
            <w:r w:rsidR="002664B3">
              <w:rPr>
                <w:rFonts w:ascii="Arial" w:hAnsi="Arial" w:cs="Arial"/>
                <w:szCs w:val="22"/>
              </w:rPr>
              <w:t>Commission</w:t>
            </w:r>
            <w:r w:rsidR="00C9570B">
              <w:rPr>
                <w:rFonts w:ascii="Arial" w:hAnsi="Arial" w:cs="Arial"/>
                <w:szCs w:val="22"/>
              </w:rPr>
              <w:t xml:space="preserve"> members are asked to note the issues set out in the paper. </w:t>
            </w:r>
          </w:p>
          <w:p w14:paraId="662C0B23" w14:textId="77777777" w:rsidR="00992E96" w:rsidRDefault="00992E96" w:rsidP="00173372">
            <w:pPr>
              <w:pStyle w:val="MainText"/>
              <w:spacing w:line="240" w:lineRule="auto"/>
              <w:rPr>
                <w:rFonts w:ascii="Arial" w:hAnsi="Arial" w:cs="Arial"/>
                <w:b/>
                <w:szCs w:val="22"/>
              </w:rPr>
            </w:pPr>
          </w:p>
          <w:p w14:paraId="296E207D" w14:textId="77777777" w:rsidR="00173372" w:rsidRDefault="00173372" w:rsidP="00173372">
            <w:pPr>
              <w:pStyle w:val="MainText"/>
              <w:spacing w:line="240" w:lineRule="auto"/>
              <w:rPr>
                <w:rFonts w:ascii="Arial" w:hAnsi="Arial" w:cs="Arial"/>
                <w:b/>
                <w:szCs w:val="22"/>
              </w:rPr>
            </w:pPr>
            <w:r>
              <w:rPr>
                <w:rFonts w:ascii="Arial" w:hAnsi="Arial" w:cs="Arial"/>
                <w:b/>
                <w:szCs w:val="22"/>
              </w:rPr>
              <w:t>Action:</w:t>
            </w:r>
          </w:p>
          <w:p w14:paraId="14F43376" w14:textId="77777777" w:rsidR="00173372" w:rsidRDefault="00173372" w:rsidP="00173372">
            <w:pPr>
              <w:pStyle w:val="MainText"/>
              <w:spacing w:line="240" w:lineRule="auto"/>
              <w:rPr>
                <w:rFonts w:ascii="Arial" w:hAnsi="Arial" w:cs="Arial"/>
                <w:b/>
                <w:szCs w:val="22"/>
              </w:rPr>
            </w:pPr>
          </w:p>
          <w:p w14:paraId="5136F81E" w14:textId="14A8B583" w:rsidR="00173372" w:rsidRDefault="00173372" w:rsidP="00173372">
            <w:pPr>
              <w:pStyle w:val="MainText"/>
              <w:spacing w:line="240" w:lineRule="auto"/>
              <w:rPr>
                <w:rFonts w:ascii="Arial" w:hAnsi="Arial" w:cs="Arial"/>
                <w:b/>
                <w:szCs w:val="22"/>
              </w:rPr>
            </w:pPr>
            <w:r>
              <w:rPr>
                <w:rFonts w:ascii="Arial" w:hAnsi="Arial" w:cs="Arial"/>
                <w:szCs w:val="22"/>
              </w:rPr>
              <w:t>Officers to take actions as appropriate.</w:t>
            </w:r>
          </w:p>
          <w:p w14:paraId="3E832277" w14:textId="77777777" w:rsidR="00622569" w:rsidRPr="0021114E" w:rsidRDefault="00622569" w:rsidP="00173372">
            <w:pPr>
              <w:pStyle w:val="MainText"/>
              <w:spacing w:line="240" w:lineRule="auto"/>
              <w:rPr>
                <w:rFonts w:ascii="Arial" w:hAnsi="Arial" w:cs="Arial"/>
                <w:b/>
                <w:szCs w:val="22"/>
              </w:rPr>
            </w:pPr>
          </w:p>
        </w:tc>
      </w:tr>
    </w:tbl>
    <w:p w14:paraId="3E832279" w14:textId="77777777" w:rsidR="00992E96" w:rsidRPr="0021114E" w:rsidRDefault="00992E96" w:rsidP="00173372">
      <w:pPr>
        <w:pStyle w:val="MainText"/>
        <w:spacing w:line="240" w:lineRule="auto"/>
        <w:rPr>
          <w:rFonts w:ascii="Arial" w:hAnsi="Arial" w:cs="Arial"/>
          <w:szCs w:val="22"/>
        </w:rPr>
      </w:pPr>
    </w:p>
    <w:p w14:paraId="3E83227A" w14:textId="77777777" w:rsidR="00992E96" w:rsidRPr="00B27F61" w:rsidRDefault="00992E96" w:rsidP="00173372">
      <w:pPr>
        <w:pStyle w:val="MainText"/>
        <w:spacing w:line="240" w:lineRule="auto"/>
        <w:rPr>
          <w:rFonts w:ascii="Arial" w:hAnsi="Arial" w:cs="Arial"/>
          <w:szCs w:val="22"/>
        </w:rPr>
      </w:pPr>
    </w:p>
    <w:tbl>
      <w:tblPr>
        <w:tblW w:w="0" w:type="auto"/>
        <w:tblLook w:val="01E0" w:firstRow="1" w:lastRow="1" w:firstColumn="1" w:lastColumn="1" w:noHBand="0" w:noVBand="0"/>
      </w:tblPr>
      <w:tblGrid>
        <w:gridCol w:w="2227"/>
        <w:gridCol w:w="3418"/>
        <w:gridCol w:w="3426"/>
      </w:tblGrid>
      <w:tr w:rsidR="00C9570B" w:rsidRPr="008E647D" w14:paraId="07274DCE" w14:textId="77777777" w:rsidTr="005E5985">
        <w:trPr>
          <w:trHeight w:val="410"/>
        </w:trPr>
        <w:tc>
          <w:tcPr>
            <w:tcW w:w="2271" w:type="dxa"/>
          </w:tcPr>
          <w:p w14:paraId="6112425B" w14:textId="77777777" w:rsidR="00C9570B" w:rsidRPr="00C9570B" w:rsidRDefault="00C9570B" w:rsidP="00173372">
            <w:pPr>
              <w:pStyle w:val="MainText"/>
              <w:spacing w:after="120" w:line="240" w:lineRule="auto"/>
              <w:rPr>
                <w:rFonts w:ascii="Arial" w:hAnsi="Arial" w:cs="Arial"/>
                <w:szCs w:val="22"/>
              </w:rPr>
            </w:pPr>
            <w:r w:rsidRPr="00C9570B">
              <w:rPr>
                <w:rFonts w:ascii="Arial" w:hAnsi="Arial" w:cs="Arial"/>
                <w:b/>
                <w:szCs w:val="22"/>
              </w:rPr>
              <w:t>Contact officer:</w:t>
            </w:r>
            <w:r w:rsidRPr="00C9570B">
              <w:rPr>
                <w:rFonts w:ascii="Arial" w:hAnsi="Arial" w:cs="Arial"/>
                <w:szCs w:val="22"/>
              </w:rPr>
              <w:t xml:space="preserve">  </w:t>
            </w:r>
          </w:p>
        </w:tc>
        <w:tc>
          <w:tcPr>
            <w:tcW w:w="3456" w:type="dxa"/>
          </w:tcPr>
          <w:p w14:paraId="14889373" w14:textId="77777777" w:rsidR="00C9570B" w:rsidRPr="00C9570B" w:rsidRDefault="00C9570B" w:rsidP="00173372">
            <w:pPr>
              <w:pStyle w:val="MainText"/>
              <w:tabs>
                <w:tab w:val="left" w:pos="4578"/>
              </w:tabs>
              <w:spacing w:after="120" w:line="240" w:lineRule="auto"/>
              <w:rPr>
                <w:rFonts w:ascii="Arial" w:hAnsi="Arial" w:cs="Arial"/>
                <w:szCs w:val="22"/>
              </w:rPr>
            </w:pPr>
            <w:r w:rsidRPr="00C9570B">
              <w:rPr>
                <w:rFonts w:ascii="Arial" w:hAnsi="Arial" w:cs="Arial"/>
                <w:szCs w:val="22"/>
              </w:rPr>
              <w:t xml:space="preserve">Gill Gittins (industrial relations) </w:t>
            </w:r>
          </w:p>
        </w:tc>
        <w:tc>
          <w:tcPr>
            <w:tcW w:w="3456" w:type="dxa"/>
          </w:tcPr>
          <w:p w14:paraId="568D55F4" w14:textId="77777777" w:rsidR="00C9570B" w:rsidRPr="00C9570B" w:rsidRDefault="00C9570B" w:rsidP="00173372">
            <w:pPr>
              <w:pStyle w:val="MainText"/>
              <w:tabs>
                <w:tab w:val="left" w:pos="4578"/>
              </w:tabs>
              <w:spacing w:after="120" w:line="240" w:lineRule="auto"/>
              <w:rPr>
                <w:rFonts w:ascii="Arial" w:hAnsi="Arial" w:cs="Arial"/>
                <w:szCs w:val="22"/>
              </w:rPr>
            </w:pPr>
            <w:r w:rsidRPr="00C9570B">
              <w:rPr>
                <w:rFonts w:ascii="Arial" w:hAnsi="Arial" w:cs="Arial"/>
                <w:szCs w:val="22"/>
              </w:rPr>
              <w:t>Clair Alcock (pensions)</w:t>
            </w:r>
          </w:p>
        </w:tc>
      </w:tr>
      <w:tr w:rsidR="00C9570B" w:rsidRPr="008E647D" w14:paraId="49217F8E" w14:textId="77777777" w:rsidTr="005E5985">
        <w:trPr>
          <w:trHeight w:val="394"/>
        </w:trPr>
        <w:tc>
          <w:tcPr>
            <w:tcW w:w="2271" w:type="dxa"/>
          </w:tcPr>
          <w:p w14:paraId="09E09B5A" w14:textId="77777777" w:rsidR="00C9570B" w:rsidRPr="00C9570B" w:rsidRDefault="00C9570B" w:rsidP="00173372">
            <w:pPr>
              <w:pStyle w:val="MainText"/>
              <w:spacing w:after="120" w:line="240" w:lineRule="auto"/>
              <w:rPr>
                <w:rFonts w:ascii="Arial" w:hAnsi="Arial" w:cs="Arial"/>
                <w:b/>
                <w:szCs w:val="22"/>
              </w:rPr>
            </w:pPr>
            <w:r w:rsidRPr="00C9570B">
              <w:rPr>
                <w:rFonts w:ascii="Arial" w:hAnsi="Arial" w:cs="Arial"/>
                <w:b/>
                <w:szCs w:val="22"/>
              </w:rPr>
              <w:t>Position:</w:t>
            </w:r>
          </w:p>
        </w:tc>
        <w:tc>
          <w:tcPr>
            <w:tcW w:w="3456" w:type="dxa"/>
          </w:tcPr>
          <w:p w14:paraId="08B47210" w14:textId="77777777" w:rsidR="00C9570B" w:rsidRPr="00C9570B" w:rsidRDefault="00C9570B" w:rsidP="00173372">
            <w:pPr>
              <w:pStyle w:val="MainText"/>
              <w:spacing w:after="120" w:line="240" w:lineRule="auto"/>
              <w:rPr>
                <w:rFonts w:ascii="Arial" w:hAnsi="Arial" w:cs="Arial"/>
                <w:szCs w:val="22"/>
              </w:rPr>
            </w:pPr>
            <w:r w:rsidRPr="00C9570B">
              <w:rPr>
                <w:rFonts w:ascii="Arial" w:hAnsi="Arial" w:cs="Arial"/>
                <w:szCs w:val="22"/>
              </w:rPr>
              <w:t>Principal Negotiating Officer</w:t>
            </w:r>
          </w:p>
        </w:tc>
        <w:tc>
          <w:tcPr>
            <w:tcW w:w="3456" w:type="dxa"/>
          </w:tcPr>
          <w:p w14:paraId="0D88834B" w14:textId="77777777" w:rsidR="00C9570B" w:rsidRPr="00C9570B" w:rsidRDefault="00C9570B" w:rsidP="00173372">
            <w:pPr>
              <w:pStyle w:val="MainText"/>
              <w:spacing w:after="120" w:line="240" w:lineRule="auto"/>
              <w:rPr>
                <w:rFonts w:ascii="Arial" w:hAnsi="Arial" w:cs="Arial"/>
                <w:szCs w:val="22"/>
              </w:rPr>
            </w:pPr>
            <w:r w:rsidRPr="00C9570B">
              <w:rPr>
                <w:rFonts w:ascii="Arial" w:hAnsi="Arial" w:cs="Arial"/>
                <w:szCs w:val="22"/>
              </w:rPr>
              <w:t>Fire Pensions Adviser</w:t>
            </w:r>
          </w:p>
        </w:tc>
      </w:tr>
      <w:tr w:rsidR="00C9570B" w:rsidRPr="008E647D" w14:paraId="2B73D897" w14:textId="77777777" w:rsidTr="005E5985">
        <w:trPr>
          <w:trHeight w:val="410"/>
        </w:trPr>
        <w:tc>
          <w:tcPr>
            <w:tcW w:w="2271" w:type="dxa"/>
          </w:tcPr>
          <w:p w14:paraId="252743FA" w14:textId="77777777" w:rsidR="00C9570B" w:rsidRPr="00C9570B" w:rsidRDefault="00C9570B" w:rsidP="00173372">
            <w:pPr>
              <w:pStyle w:val="MainText"/>
              <w:spacing w:after="120" w:line="240" w:lineRule="auto"/>
              <w:rPr>
                <w:rFonts w:ascii="Arial" w:hAnsi="Arial" w:cs="Arial"/>
                <w:b/>
                <w:szCs w:val="22"/>
              </w:rPr>
            </w:pPr>
            <w:r w:rsidRPr="00C9570B">
              <w:rPr>
                <w:rFonts w:ascii="Arial" w:hAnsi="Arial" w:cs="Arial"/>
                <w:b/>
                <w:szCs w:val="22"/>
              </w:rPr>
              <w:t>Phone no:</w:t>
            </w:r>
          </w:p>
        </w:tc>
        <w:tc>
          <w:tcPr>
            <w:tcW w:w="3456" w:type="dxa"/>
          </w:tcPr>
          <w:p w14:paraId="6E679C0B" w14:textId="38454386" w:rsidR="00C9570B" w:rsidRPr="00C9570B" w:rsidRDefault="00B80BE9" w:rsidP="00173372">
            <w:pPr>
              <w:pStyle w:val="MainText"/>
              <w:spacing w:after="120" w:line="240" w:lineRule="auto"/>
              <w:rPr>
                <w:rFonts w:ascii="Arial" w:hAnsi="Arial" w:cs="Arial"/>
                <w:szCs w:val="22"/>
              </w:rPr>
            </w:pPr>
            <w:r>
              <w:rPr>
                <w:rFonts w:ascii="Arial" w:hAnsi="Arial" w:cs="Arial"/>
                <w:szCs w:val="22"/>
              </w:rPr>
              <w:t>020</w:t>
            </w:r>
            <w:r w:rsidR="00C9570B" w:rsidRPr="00C9570B">
              <w:rPr>
                <w:rFonts w:ascii="Arial" w:hAnsi="Arial" w:cs="Arial"/>
                <w:szCs w:val="22"/>
              </w:rPr>
              <w:t>7</w:t>
            </w:r>
            <w:r>
              <w:rPr>
                <w:rFonts w:ascii="Arial" w:hAnsi="Arial" w:cs="Arial"/>
                <w:szCs w:val="22"/>
              </w:rPr>
              <w:t xml:space="preserve"> </w:t>
            </w:r>
            <w:r w:rsidR="00C9570B" w:rsidRPr="00C9570B">
              <w:rPr>
                <w:rFonts w:ascii="Arial" w:hAnsi="Arial" w:cs="Arial"/>
                <w:szCs w:val="22"/>
              </w:rPr>
              <w:t>187 7335</w:t>
            </w:r>
          </w:p>
        </w:tc>
        <w:tc>
          <w:tcPr>
            <w:tcW w:w="3456" w:type="dxa"/>
          </w:tcPr>
          <w:p w14:paraId="17DA441D" w14:textId="27FF43B2" w:rsidR="00C9570B" w:rsidRPr="00C9570B" w:rsidRDefault="00B80BE9" w:rsidP="00173372">
            <w:pPr>
              <w:pStyle w:val="MainText"/>
              <w:spacing w:after="120" w:line="240" w:lineRule="auto"/>
              <w:rPr>
                <w:rFonts w:ascii="Arial" w:hAnsi="Arial" w:cs="Arial"/>
                <w:szCs w:val="22"/>
              </w:rPr>
            </w:pPr>
            <w:r>
              <w:rPr>
                <w:rFonts w:ascii="Arial" w:hAnsi="Arial" w:cs="Arial"/>
                <w:szCs w:val="22"/>
              </w:rPr>
              <w:t>020</w:t>
            </w:r>
            <w:r w:rsidR="00C9570B" w:rsidRPr="00C9570B">
              <w:rPr>
                <w:rFonts w:ascii="Arial" w:hAnsi="Arial" w:cs="Arial"/>
                <w:color w:val="000000"/>
                <w:szCs w:val="22"/>
              </w:rPr>
              <w:t>7</w:t>
            </w:r>
            <w:r>
              <w:rPr>
                <w:rFonts w:ascii="Arial" w:hAnsi="Arial" w:cs="Arial"/>
                <w:color w:val="000000"/>
                <w:szCs w:val="22"/>
              </w:rPr>
              <w:t xml:space="preserve"> </w:t>
            </w:r>
            <w:r w:rsidR="00C9570B" w:rsidRPr="00C9570B">
              <w:rPr>
                <w:rFonts w:ascii="Arial" w:hAnsi="Arial" w:cs="Arial"/>
                <w:color w:val="000000"/>
                <w:szCs w:val="22"/>
              </w:rPr>
              <w:t>664 3189</w:t>
            </w:r>
            <w:r w:rsidR="00C9570B" w:rsidRPr="00C9570B">
              <w:rPr>
                <w:rFonts w:ascii="Arial" w:hAnsi="Arial" w:cs="Arial"/>
                <w:szCs w:val="22"/>
              </w:rPr>
              <w:t xml:space="preserve"> </w:t>
            </w:r>
          </w:p>
        </w:tc>
      </w:tr>
      <w:tr w:rsidR="00C9570B" w:rsidRPr="008E647D" w14:paraId="7409372D" w14:textId="77777777" w:rsidTr="005E5985">
        <w:trPr>
          <w:trHeight w:val="394"/>
        </w:trPr>
        <w:tc>
          <w:tcPr>
            <w:tcW w:w="2271" w:type="dxa"/>
          </w:tcPr>
          <w:p w14:paraId="1648DA58" w14:textId="77777777" w:rsidR="00C9570B" w:rsidRPr="00C9570B" w:rsidRDefault="00C9570B" w:rsidP="00173372">
            <w:pPr>
              <w:pStyle w:val="MainText"/>
              <w:spacing w:after="120" w:line="240" w:lineRule="auto"/>
              <w:rPr>
                <w:rFonts w:ascii="Arial" w:hAnsi="Arial" w:cs="Arial"/>
                <w:b/>
                <w:szCs w:val="22"/>
              </w:rPr>
            </w:pPr>
            <w:r w:rsidRPr="00C9570B">
              <w:rPr>
                <w:rFonts w:ascii="Arial" w:hAnsi="Arial" w:cs="Arial"/>
                <w:b/>
                <w:szCs w:val="22"/>
              </w:rPr>
              <w:t>E-mail:</w:t>
            </w:r>
          </w:p>
        </w:tc>
        <w:tc>
          <w:tcPr>
            <w:tcW w:w="3456" w:type="dxa"/>
          </w:tcPr>
          <w:p w14:paraId="27481CC6" w14:textId="71AAA9D4" w:rsidR="00C9570B" w:rsidRDefault="00F61FB5" w:rsidP="00173372">
            <w:pPr>
              <w:pStyle w:val="MainText"/>
              <w:spacing w:after="120" w:line="240" w:lineRule="auto"/>
              <w:rPr>
                <w:rFonts w:ascii="Arial" w:hAnsi="Arial" w:cs="Arial"/>
                <w:szCs w:val="22"/>
              </w:rPr>
            </w:pPr>
            <w:hyperlink r:id="rId11" w:history="1">
              <w:r w:rsidR="00173372" w:rsidRPr="00843F04">
                <w:rPr>
                  <w:rStyle w:val="Hyperlink"/>
                  <w:rFonts w:ascii="Arial" w:hAnsi="Arial" w:cs="Arial"/>
                  <w:szCs w:val="22"/>
                </w:rPr>
                <w:t>gill.gittins@local.gov.uk</w:t>
              </w:r>
            </w:hyperlink>
          </w:p>
          <w:p w14:paraId="03ED325F" w14:textId="77777777" w:rsidR="00173372" w:rsidRPr="00C9570B" w:rsidRDefault="00173372" w:rsidP="00173372">
            <w:pPr>
              <w:pStyle w:val="MainText"/>
              <w:spacing w:after="120" w:line="240" w:lineRule="auto"/>
              <w:rPr>
                <w:rFonts w:ascii="Arial" w:hAnsi="Arial" w:cs="Arial"/>
                <w:szCs w:val="22"/>
              </w:rPr>
            </w:pPr>
          </w:p>
        </w:tc>
        <w:tc>
          <w:tcPr>
            <w:tcW w:w="3456" w:type="dxa"/>
          </w:tcPr>
          <w:p w14:paraId="7D3320FA" w14:textId="76E329BE" w:rsidR="00C9570B" w:rsidRDefault="00F61FB5" w:rsidP="00173372">
            <w:pPr>
              <w:pStyle w:val="MainText"/>
              <w:spacing w:after="120" w:line="240" w:lineRule="auto"/>
              <w:rPr>
                <w:rFonts w:ascii="Arial" w:hAnsi="Arial" w:cs="Arial"/>
                <w:szCs w:val="22"/>
              </w:rPr>
            </w:pPr>
            <w:hyperlink r:id="rId12" w:history="1">
              <w:r w:rsidR="00173372" w:rsidRPr="00843F04">
                <w:rPr>
                  <w:rStyle w:val="Hyperlink"/>
                  <w:rFonts w:ascii="Arial" w:hAnsi="Arial" w:cs="Arial"/>
                  <w:szCs w:val="22"/>
                </w:rPr>
                <w:t>clair.alcock@local.gov.uk</w:t>
              </w:r>
            </w:hyperlink>
          </w:p>
          <w:p w14:paraId="3DB2162B" w14:textId="77777777" w:rsidR="00173372" w:rsidRPr="00C9570B" w:rsidRDefault="00173372" w:rsidP="00173372">
            <w:pPr>
              <w:pStyle w:val="MainText"/>
              <w:spacing w:after="120" w:line="240" w:lineRule="auto"/>
              <w:rPr>
                <w:rFonts w:ascii="Arial" w:hAnsi="Arial" w:cs="Arial"/>
                <w:szCs w:val="22"/>
              </w:rPr>
            </w:pPr>
          </w:p>
        </w:tc>
      </w:tr>
      <w:tr w:rsidR="00C9570B" w:rsidRPr="008E647D" w14:paraId="1D774FC8" w14:textId="77777777" w:rsidTr="005E5985">
        <w:trPr>
          <w:trHeight w:val="410"/>
        </w:trPr>
        <w:tc>
          <w:tcPr>
            <w:tcW w:w="2271" w:type="dxa"/>
          </w:tcPr>
          <w:p w14:paraId="2096A519" w14:textId="77777777" w:rsidR="00C9570B" w:rsidRPr="008E647D" w:rsidRDefault="00C9570B" w:rsidP="00173372">
            <w:pPr>
              <w:pStyle w:val="MainText"/>
              <w:spacing w:after="120" w:line="240" w:lineRule="auto"/>
              <w:rPr>
                <w:rFonts w:ascii="Arial" w:hAnsi="Arial" w:cs="Arial"/>
                <w:b/>
                <w:sz w:val="23"/>
                <w:szCs w:val="23"/>
              </w:rPr>
            </w:pPr>
          </w:p>
        </w:tc>
        <w:tc>
          <w:tcPr>
            <w:tcW w:w="3456" w:type="dxa"/>
          </w:tcPr>
          <w:p w14:paraId="4E486B5A" w14:textId="77777777" w:rsidR="00C9570B" w:rsidRPr="008E647D" w:rsidRDefault="00C9570B" w:rsidP="00173372">
            <w:pPr>
              <w:pStyle w:val="MainText"/>
              <w:tabs>
                <w:tab w:val="left" w:pos="4578"/>
              </w:tabs>
              <w:spacing w:after="120" w:line="240" w:lineRule="auto"/>
              <w:rPr>
                <w:rFonts w:ascii="Arial" w:hAnsi="Arial" w:cs="Arial"/>
                <w:sz w:val="23"/>
                <w:szCs w:val="23"/>
              </w:rPr>
            </w:pPr>
          </w:p>
        </w:tc>
        <w:tc>
          <w:tcPr>
            <w:tcW w:w="3456" w:type="dxa"/>
          </w:tcPr>
          <w:p w14:paraId="4B4B292C" w14:textId="77777777" w:rsidR="00C9570B" w:rsidRDefault="00C9570B" w:rsidP="00173372">
            <w:pPr>
              <w:pStyle w:val="MainText"/>
              <w:tabs>
                <w:tab w:val="left" w:pos="4578"/>
              </w:tabs>
              <w:spacing w:after="120" w:line="240" w:lineRule="auto"/>
              <w:rPr>
                <w:rFonts w:ascii="Arial" w:hAnsi="Arial" w:cs="Arial"/>
                <w:sz w:val="23"/>
                <w:szCs w:val="23"/>
              </w:rPr>
            </w:pPr>
          </w:p>
        </w:tc>
      </w:tr>
      <w:tr w:rsidR="00C9570B" w:rsidRPr="008E647D" w14:paraId="4F82016C" w14:textId="77777777" w:rsidTr="005E5985">
        <w:trPr>
          <w:trHeight w:val="394"/>
        </w:trPr>
        <w:tc>
          <w:tcPr>
            <w:tcW w:w="2271" w:type="dxa"/>
          </w:tcPr>
          <w:p w14:paraId="053C7A7C" w14:textId="77777777" w:rsidR="00C9570B" w:rsidRPr="008E647D" w:rsidRDefault="00C9570B" w:rsidP="00173372">
            <w:pPr>
              <w:pStyle w:val="MainText"/>
              <w:spacing w:after="120" w:line="240" w:lineRule="auto"/>
              <w:rPr>
                <w:rFonts w:ascii="Arial" w:hAnsi="Arial" w:cs="Arial"/>
                <w:b/>
                <w:sz w:val="23"/>
                <w:szCs w:val="23"/>
              </w:rPr>
            </w:pPr>
          </w:p>
        </w:tc>
        <w:tc>
          <w:tcPr>
            <w:tcW w:w="3456" w:type="dxa"/>
          </w:tcPr>
          <w:p w14:paraId="7C339DD1" w14:textId="77777777" w:rsidR="00C9570B" w:rsidRPr="008E647D" w:rsidRDefault="00C9570B" w:rsidP="00173372">
            <w:pPr>
              <w:pStyle w:val="MainText"/>
              <w:spacing w:after="120" w:line="240" w:lineRule="auto"/>
              <w:rPr>
                <w:rFonts w:ascii="Arial" w:hAnsi="Arial" w:cs="Arial"/>
                <w:sz w:val="23"/>
                <w:szCs w:val="23"/>
              </w:rPr>
            </w:pPr>
          </w:p>
        </w:tc>
        <w:tc>
          <w:tcPr>
            <w:tcW w:w="3456" w:type="dxa"/>
          </w:tcPr>
          <w:p w14:paraId="633A52A9" w14:textId="77777777" w:rsidR="00C9570B" w:rsidRDefault="00C9570B" w:rsidP="00173372">
            <w:pPr>
              <w:pStyle w:val="MainText"/>
              <w:spacing w:after="120" w:line="240" w:lineRule="auto"/>
              <w:rPr>
                <w:rFonts w:ascii="Arial" w:hAnsi="Arial" w:cs="Arial"/>
                <w:sz w:val="23"/>
                <w:szCs w:val="23"/>
              </w:rPr>
            </w:pPr>
          </w:p>
        </w:tc>
      </w:tr>
      <w:tr w:rsidR="00C9570B" w:rsidRPr="008E647D" w14:paraId="7EDAB4DD" w14:textId="77777777" w:rsidTr="005E5985">
        <w:trPr>
          <w:trHeight w:val="394"/>
        </w:trPr>
        <w:tc>
          <w:tcPr>
            <w:tcW w:w="2271" w:type="dxa"/>
          </w:tcPr>
          <w:p w14:paraId="497D78E1" w14:textId="77777777" w:rsidR="00C9570B" w:rsidRPr="008E647D" w:rsidRDefault="00C9570B" w:rsidP="00173372">
            <w:pPr>
              <w:pStyle w:val="MainText"/>
              <w:spacing w:after="120" w:line="240" w:lineRule="auto"/>
              <w:rPr>
                <w:rFonts w:ascii="Arial" w:hAnsi="Arial" w:cs="Arial"/>
                <w:b/>
                <w:sz w:val="23"/>
                <w:szCs w:val="23"/>
              </w:rPr>
            </w:pPr>
          </w:p>
        </w:tc>
        <w:tc>
          <w:tcPr>
            <w:tcW w:w="3456" w:type="dxa"/>
          </w:tcPr>
          <w:p w14:paraId="6D93381C" w14:textId="77777777" w:rsidR="00C9570B" w:rsidRPr="008E647D" w:rsidRDefault="00C9570B" w:rsidP="00173372">
            <w:pPr>
              <w:pStyle w:val="MainText"/>
              <w:spacing w:after="120" w:line="240" w:lineRule="auto"/>
              <w:rPr>
                <w:rFonts w:ascii="Arial" w:hAnsi="Arial" w:cs="Arial"/>
                <w:sz w:val="23"/>
                <w:szCs w:val="23"/>
              </w:rPr>
            </w:pPr>
          </w:p>
        </w:tc>
        <w:tc>
          <w:tcPr>
            <w:tcW w:w="3456" w:type="dxa"/>
          </w:tcPr>
          <w:p w14:paraId="43DC8B59" w14:textId="77777777" w:rsidR="00C9570B" w:rsidRDefault="00C9570B" w:rsidP="00173372">
            <w:pPr>
              <w:pStyle w:val="MainText"/>
              <w:spacing w:after="120" w:line="240" w:lineRule="auto"/>
              <w:rPr>
                <w:rFonts w:ascii="Arial" w:hAnsi="Arial" w:cs="Arial"/>
                <w:sz w:val="23"/>
                <w:szCs w:val="23"/>
              </w:rPr>
            </w:pPr>
          </w:p>
        </w:tc>
      </w:tr>
    </w:tbl>
    <w:p w14:paraId="3E832287" w14:textId="77777777" w:rsidR="00992E96" w:rsidRPr="00B27F61" w:rsidRDefault="00992E96" w:rsidP="00173372">
      <w:pPr>
        <w:rPr>
          <w:rFonts w:ascii="Arial" w:hAnsi="Arial" w:cs="Arial"/>
          <w:szCs w:val="22"/>
        </w:rPr>
      </w:pPr>
      <w:r w:rsidRPr="00B27F61">
        <w:rPr>
          <w:rFonts w:ascii="Arial" w:hAnsi="Arial" w:cs="Arial"/>
          <w:szCs w:val="22"/>
        </w:rPr>
        <w:br w:type="page"/>
      </w:r>
    </w:p>
    <w:p w14:paraId="3E832288" w14:textId="77777777" w:rsidR="00992E96" w:rsidRDefault="00992E96" w:rsidP="00173372">
      <w:pPr>
        <w:rPr>
          <w:rFonts w:ascii="Arial" w:hAnsi="Arial" w:cs="Arial"/>
          <w:szCs w:val="22"/>
        </w:rPr>
        <w:sectPr w:rsidR="00992E96" w:rsidSect="005E5985">
          <w:headerReference w:type="default" r:id="rId13"/>
          <w:footerReference w:type="default" r:id="rId14"/>
          <w:headerReference w:type="first" r:id="rId15"/>
          <w:pgSz w:w="11907" w:h="16840" w:code="9"/>
          <w:pgMar w:top="1418" w:right="1418" w:bottom="851" w:left="1418" w:header="1134" w:footer="567" w:gutter="0"/>
          <w:cols w:space="720"/>
        </w:sectPr>
      </w:pPr>
    </w:p>
    <w:p w14:paraId="3E832289" w14:textId="4784CCD5" w:rsidR="00992E96" w:rsidRPr="00992E96" w:rsidRDefault="005E5985" w:rsidP="00173372">
      <w:pPr>
        <w:rPr>
          <w:rFonts w:ascii="Arial" w:hAnsi="Arial" w:cs="Arial"/>
          <w:szCs w:val="22"/>
        </w:rPr>
      </w:pPr>
      <w:bookmarkStart w:id="2" w:name="MainHeading2"/>
      <w:bookmarkEnd w:id="2"/>
      <w:r>
        <w:rPr>
          <w:rFonts w:ascii="Arial" w:hAnsi="Arial" w:cs="Arial"/>
          <w:b/>
          <w:sz w:val="28"/>
          <w:szCs w:val="22"/>
        </w:rPr>
        <w:lastRenderedPageBreak/>
        <w:t>Workforce Report</w:t>
      </w:r>
    </w:p>
    <w:p w14:paraId="3E83228B" w14:textId="77777777" w:rsidR="00992E96" w:rsidRPr="0021114E" w:rsidRDefault="00992E96" w:rsidP="00173372">
      <w:pPr>
        <w:pStyle w:val="MainText"/>
        <w:spacing w:line="240" w:lineRule="auto"/>
        <w:rPr>
          <w:rFonts w:ascii="Arial" w:hAnsi="Arial" w:cs="Arial"/>
          <w:b/>
          <w:color w:val="FF0000"/>
          <w:szCs w:val="22"/>
        </w:rPr>
      </w:pPr>
    </w:p>
    <w:p w14:paraId="3E83228C" w14:textId="6F316BD9" w:rsidR="00992E96" w:rsidRDefault="005E5985" w:rsidP="00173372">
      <w:pPr>
        <w:pStyle w:val="MainText"/>
        <w:spacing w:line="240" w:lineRule="auto"/>
        <w:rPr>
          <w:rFonts w:ascii="Arial" w:hAnsi="Arial" w:cs="Arial"/>
          <w:b/>
          <w:szCs w:val="22"/>
        </w:rPr>
      </w:pPr>
      <w:r>
        <w:rPr>
          <w:rFonts w:ascii="Arial" w:hAnsi="Arial" w:cs="Arial"/>
          <w:b/>
          <w:szCs w:val="22"/>
        </w:rPr>
        <w:t>Pensions</w:t>
      </w:r>
    </w:p>
    <w:p w14:paraId="38389ED0" w14:textId="77777777" w:rsidR="005E5985" w:rsidRDefault="005E5985" w:rsidP="00173372">
      <w:pPr>
        <w:pStyle w:val="MainText"/>
        <w:spacing w:line="240" w:lineRule="auto"/>
        <w:rPr>
          <w:rFonts w:ascii="Arial" w:hAnsi="Arial" w:cs="Arial"/>
          <w:b/>
          <w:szCs w:val="22"/>
        </w:rPr>
      </w:pPr>
    </w:p>
    <w:p w14:paraId="3A087B01" w14:textId="1A3EBABA" w:rsidR="005E5985" w:rsidRPr="002A72E2" w:rsidRDefault="00F06A68" w:rsidP="00173372">
      <w:pPr>
        <w:pStyle w:val="MainText"/>
        <w:spacing w:line="240" w:lineRule="auto"/>
        <w:rPr>
          <w:rFonts w:ascii="Arial" w:hAnsi="Arial" w:cs="Arial"/>
          <w:b/>
          <w:szCs w:val="22"/>
        </w:rPr>
      </w:pPr>
      <w:r>
        <w:rPr>
          <w:rFonts w:ascii="Arial" w:hAnsi="Arial" w:cs="Arial"/>
          <w:b/>
          <w:szCs w:val="22"/>
        </w:rPr>
        <w:t>Voluntary Scheme Pays</w:t>
      </w:r>
    </w:p>
    <w:p w14:paraId="3E83228D" w14:textId="77777777" w:rsidR="00992E96" w:rsidRPr="0021114E" w:rsidRDefault="00992E96" w:rsidP="00173372">
      <w:pPr>
        <w:pStyle w:val="MainText"/>
        <w:spacing w:line="240" w:lineRule="auto"/>
        <w:rPr>
          <w:rFonts w:ascii="Arial" w:hAnsi="Arial" w:cs="Arial"/>
          <w:szCs w:val="22"/>
        </w:rPr>
      </w:pPr>
    </w:p>
    <w:p w14:paraId="290B513A" w14:textId="5215CEB2" w:rsidR="00F06A68" w:rsidRDefault="00F06A68" w:rsidP="00173372">
      <w:pPr>
        <w:numPr>
          <w:ilvl w:val="0"/>
          <w:numId w:val="7"/>
        </w:numPr>
        <w:rPr>
          <w:rFonts w:ascii="Arial" w:hAnsi="Arial" w:cs="Arial"/>
          <w:lang w:val="en-US"/>
        </w:rPr>
      </w:pPr>
      <w:r w:rsidRPr="006265B3">
        <w:rPr>
          <w:rFonts w:ascii="Arial" w:hAnsi="Arial" w:cs="Arial"/>
          <w:lang w:val="en-US"/>
        </w:rPr>
        <w:t>Changes to the tax rules now mean that some high earning members with income of more than £150,000 per annum are subject to a Tapered Annual Allowance which reduces from £40,000 to £10,000 incrementally for those earning between £150,000 and £210,000 per annum, those subject to the tapered annual allowance ca</w:t>
      </w:r>
      <w:r w:rsidR="002D76FC">
        <w:rPr>
          <w:rFonts w:ascii="Arial" w:hAnsi="Arial" w:cs="Arial"/>
          <w:lang w:val="en-US"/>
        </w:rPr>
        <w:t>nnot use Mandatory Scheme Pays (</w:t>
      </w:r>
      <w:r w:rsidRPr="006265B3">
        <w:rPr>
          <w:rFonts w:ascii="Arial" w:hAnsi="Arial" w:cs="Arial"/>
          <w:lang w:val="en-US"/>
        </w:rPr>
        <w:t>MSP</w:t>
      </w:r>
      <w:r w:rsidR="002D76FC">
        <w:rPr>
          <w:rFonts w:ascii="Arial" w:hAnsi="Arial" w:cs="Arial"/>
          <w:lang w:val="en-US"/>
        </w:rPr>
        <w:t>)</w:t>
      </w:r>
      <w:r w:rsidRPr="006265B3">
        <w:rPr>
          <w:rFonts w:ascii="Arial" w:hAnsi="Arial" w:cs="Arial"/>
          <w:lang w:val="en-US"/>
        </w:rPr>
        <w:t xml:space="preserve"> to pay the resulting tax charge, which may be up to £13,500 per annum and fall to the individual to pay. In some cases this may result in an annual charge.</w:t>
      </w:r>
    </w:p>
    <w:p w14:paraId="183B147D" w14:textId="77777777" w:rsidR="00F06A68" w:rsidRPr="006265B3" w:rsidRDefault="00F06A68" w:rsidP="00173372">
      <w:pPr>
        <w:ind w:left="360"/>
        <w:rPr>
          <w:rFonts w:ascii="Arial" w:hAnsi="Arial" w:cs="Arial"/>
          <w:lang w:val="en-US"/>
        </w:rPr>
      </w:pPr>
    </w:p>
    <w:p w14:paraId="2E39F0AC" w14:textId="70F2966D" w:rsidR="00F06A68" w:rsidRPr="006265B3" w:rsidRDefault="00F06A68" w:rsidP="00173372">
      <w:pPr>
        <w:numPr>
          <w:ilvl w:val="0"/>
          <w:numId w:val="7"/>
        </w:numPr>
        <w:rPr>
          <w:rFonts w:ascii="Arial" w:hAnsi="Arial" w:cs="Arial"/>
          <w:lang w:val="en-US"/>
        </w:rPr>
      </w:pPr>
      <w:r w:rsidRPr="006265B3">
        <w:rPr>
          <w:rFonts w:ascii="Arial" w:hAnsi="Arial" w:cs="Arial"/>
          <w:lang w:val="en-US"/>
        </w:rPr>
        <w:t>LGA has recently sought legal advice on behalf of English FRAs, in order to determine whether an FRA c</w:t>
      </w:r>
      <w:r w:rsidR="002D76FC">
        <w:rPr>
          <w:rFonts w:ascii="Arial" w:hAnsi="Arial" w:cs="Arial"/>
          <w:lang w:val="en-US"/>
        </w:rPr>
        <w:t>an offer Voluntary Scheme Pays (</w:t>
      </w:r>
      <w:r w:rsidRPr="006265B3">
        <w:rPr>
          <w:rFonts w:ascii="Arial" w:hAnsi="Arial" w:cs="Arial"/>
          <w:lang w:val="en-US"/>
        </w:rPr>
        <w:t>VSP</w:t>
      </w:r>
      <w:r w:rsidR="002D76FC">
        <w:rPr>
          <w:rFonts w:ascii="Arial" w:hAnsi="Arial" w:cs="Arial"/>
          <w:lang w:val="en-US"/>
        </w:rPr>
        <w:t>)</w:t>
      </w:r>
      <w:r w:rsidRPr="006265B3">
        <w:rPr>
          <w:rFonts w:ascii="Arial" w:hAnsi="Arial" w:cs="Arial"/>
          <w:lang w:val="en-US"/>
        </w:rPr>
        <w:t xml:space="preserve"> where the FRA pays the charge on behalf of the member and collects it via a debit from the pension once put in payment, without the need for a change to legislation. </w:t>
      </w:r>
    </w:p>
    <w:p w14:paraId="7FD2CCE0" w14:textId="77777777" w:rsidR="00F06A68" w:rsidRPr="006265B3" w:rsidRDefault="00F06A68" w:rsidP="00173372">
      <w:pPr>
        <w:ind w:left="567" w:hanging="567"/>
        <w:rPr>
          <w:rFonts w:ascii="Arial" w:hAnsi="Arial" w:cs="Arial"/>
          <w:lang w:val="en-US"/>
        </w:rPr>
      </w:pPr>
    </w:p>
    <w:p w14:paraId="550A97C6" w14:textId="77777777" w:rsidR="00F06A68" w:rsidRPr="006265B3" w:rsidRDefault="00F06A68" w:rsidP="00173372">
      <w:pPr>
        <w:numPr>
          <w:ilvl w:val="0"/>
          <w:numId w:val="7"/>
        </w:numPr>
        <w:rPr>
          <w:rFonts w:ascii="Arial" w:hAnsi="Arial" w:cs="Arial"/>
          <w:lang w:val="en-US"/>
        </w:rPr>
      </w:pPr>
      <w:r w:rsidRPr="006265B3">
        <w:rPr>
          <w:rFonts w:ascii="Arial" w:hAnsi="Arial" w:cs="Arial"/>
          <w:lang w:val="en-US"/>
        </w:rPr>
        <w:t>The Legal advice received opined that it was possible for an FRA to satisfy the tax charge on a voluntary basis, without a need for change to legislation.</w:t>
      </w:r>
    </w:p>
    <w:p w14:paraId="126D5E13" w14:textId="77777777" w:rsidR="00F06A68" w:rsidRPr="006265B3" w:rsidRDefault="00F06A68" w:rsidP="00173372">
      <w:pPr>
        <w:ind w:left="567" w:hanging="567"/>
        <w:rPr>
          <w:rFonts w:ascii="Arial" w:hAnsi="Arial" w:cs="Arial"/>
          <w:lang w:val="en-US"/>
        </w:rPr>
      </w:pPr>
    </w:p>
    <w:p w14:paraId="3E832297" w14:textId="4EB7CD40" w:rsidR="00992E96" w:rsidRPr="00F06A68" w:rsidRDefault="00F06A68" w:rsidP="00173372">
      <w:pPr>
        <w:numPr>
          <w:ilvl w:val="0"/>
          <w:numId w:val="7"/>
        </w:numPr>
        <w:rPr>
          <w:rFonts w:ascii="Arial" w:hAnsi="Arial" w:cs="Arial"/>
          <w:lang w:val="en-US"/>
        </w:rPr>
      </w:pPr>
      <w:r w:rsidRPr="006265B3">
        <w:rPr>
          <w:rFonts w:ascii="Arial" w:hAnsi="Arial" w:cs="Arial"/>
          <w:lang w:val="en-US"/>
        </w:rPr>
        <w:t xml:space="preserve">A detailed guidance note was circulated on 31 May 2017, and can be found </w:t>
      </w:r>
      <w:hyperlink r:id="rId16" w:history="1">
        <w:r w:rsidRPr="006265B3">
          <w:rPr>
            <w:rStyle w:val="Hyperlink"/>
            <w:rFonts w:ascii="Arial" w:hAnsi="Arial" w:cs="Arial"/>
            <w:lang w:val="en-US"/>
          </w:rPr>
          <w:t>here</w:t>
        </w:r>
      </w:hyperlink>
      <w:r>
        <w:rPr>
          <w:rFonts w:ascii="Arial" w:hAnsi="Arial" w:cs="Arial"/>
          <w:lang w:val="en-US"/>
        </w:rPr>
        <w:t>.</w:t>
      </w:r>
    </w:p>
    <w:p w14:paraId="3E83229C" w14:textId="77777777" w:rsidR="00992E96" w:rsidRDefault="00992E96" w:rsidP="00173372">
      <w:pPr>
        <w:rPr>
          <w:rFonts w:ascii="Arial" w:hAnsi="Arial" w:cs="Arial"/>
          <w:b/>
          <w:szCs w:val="22"/>
        </w:rPr>
      </w:pPr>
    </w:p>
    <w:p w14:paraId="3E8322B1" w14:textId="041876A5" w:rsidR="00B23DA6" w:rsidRDefault="00F06A68" w:rsidP="00173372">
      <w:pPr>
        <w:rPr>
          <w:rFonts w:ascii="Arial" w:hAnsi="Arial" w:cs="Arial"/>
          <w:b/>
        </w:rPr>
      </w:pPr>
      <w:r>
        <w:rPr>
          <w:rFonts w:ascii="Arial" w:hAnsi="Arial" w:cs="Arial"/>
          <w:b/>
        </w:rPr>
        <w:t>The Pensions Regulator – Administration and Governance Survey</w:t>
      </w:r>
    </w:p>
    <w:p w14:paraId="6C11DB57" w14:textId="77777777" w:rsidR="00F06A68" w:rsidRDefault="00F06A68" w:rsidP="00173372">
      <w:pPr>
        <w:rPr>
          <w:rFonts w:ascii="Arial" w:hAnsi="Arial" w:cs="Arial"/>
          <w:b/>
        </w:rPr>
      </w:pPr>
    </w:p>
    <w:p w14:paraId="7E75DA1C" w14:textId="204BCC16" w:rsidR="00F06A68" w:rsidRPr="00F06A68" w:rsidRDefault="00F06A68" w:rsidP="00173372">
      <w:pPr>
        <w:numPr>
          <w:ilvl w:val="0"/>
          <w:numId w:val="7"/>
        </w:numPr>
        <w:rPr>
          <w:rFonts w:ascii="Arial" w:hAnsi="Arial" w:cs="Arial"/>
          <w:lang w:val="en-US"/>
        </w:rPr>
      </w:pPr>
      <w:r w:rsidRPr="006265B3">
        <w:rPr>
          <w:rFonts w:ascii="Arial" w:hAnsi="Arial" w:cs="Arial"/>
          <w:lang w:val="en-US"/>
        </w:rPr>
        <w:t xml:space="preserve">The Pensions Regulator who was given oversight of the Public Services Pension Schemes in the 2013 Public Service Pensions Act has now published the 2016 Governance and Admin survey results, full results of the survey may be accessed online </w:t>
      </w:r>
      <w:hyperlink r:id="rId17" w:history="1">
        <w:r w:rsidRPr="006265B3">
          <w:rPr>
            <w:rStyle w:val="Hyperlink"/>
            <w:rFonts w:ascii="Arial" w:hAnsi="Arial" w:cs="Arial"/>
            <w:lang w:val="en-US"/>
          </w:rPr>
          <w:t>here</w:t>
        </w:r>
      </w:hyperlink>
      <w:r>
        <w:rPr>
          <w:rStyle w:val="Hyperlink"/>
          <w:rFonts w:ascii="Arial" w:hAnsi="Arial" w:cs="Arial"/>
          <w:lang w:val="en-US"/>
        </w:rPr>
        <w:t>.</w:t>
      </w:r>
    </w:p>
    <w:p w14:paraId="25988204" w14:textId="77777777" w:rsidR="00F06A68" w:rsidRPr="006265B3" w:rsidRDefault="00F06A68" w:rsidP="00173372">
      <w:pPr>
        <w:ind w:left="567" w:hanging="567"/>
        <w:rPr>
          <w:rFonts w:ascii="Arial" w:hAnsi="Arial" w:cs="Arial"/>
          <w:lang w:val="en-US"/>
        </w:rPr>
      </w:pPr>
    </w:p>
    <w:p w14:paraId="7C1108A2" w14:textId="0136EAC2" w:rsidR="00F06A68" w:rsidRDefault="00F06A68" w:rsidP="00173372">
      <w:pPr>
        <w:numPr>
          <w:ilvl w:val="0"/>
          <w:numId w:val="7"/>
        </w:numPr>
        <w:rPr>
          <w:rFonts w:ascii="Arial" w:hAnsi="Arial" w:cs="Arial"/>
          <w:lang w:val="en-US"/>
        </w:rPr>
      </w:pPr>
      <w:r w:rsidRPr="006265B3">
        <w:rPr>
          <w:rFonts w:ascii="Arial" w:hAnsi="Arial" w:cs="Arial"/>
          <w:lang w:val="en-US"/>
        </w:rPr>
        <w:t>The Firefighters Pension Schemes had the highest response rate of the locally administered schemes with a 98</w:t>
      </w:r>
      <w:r w:rsidR="002D76FC">
        <w:rPr>
          <w:rFonts w:ascii="Arial" w:hAnsi="Arial" w:cs="Arial"/>
          <w:lang w:val="en-US"/>
        </w:rPr>
        <w:t xml:space="preserve"> per cent</w:t>
      </w:r>
      <w:r w:rsidRPr="006265B3">
        <w:rPr>
          <w:rFonts w:ascii="Arial" w:hAnsi="Arial" w:cs="Arial"/>
          <w:lang w:val="en-US"/>
        </w:rPr>
        <w:t xml:space="preserve"> response rate.  Additionally the results show significant improvement in key processes around breaches of the law and training and knowledge. </w:t>
      </w:r>
    </w:p>
    <w:p w14:paraId="1F5A7643" w14:textId="77777777" w:rsidR="00F06A68" w:rsidRDefault="00F06A68" w:rsidP="00173372">
      <w:pPr>
        <w:pStyle w:val="ListParagraph"/>
        <w:rPr>
          <w:rFonts w:ascii="Arial" w:hAnsi="Arial" w:cs="Arial"/>
          <w:lang w:val="en-US"/>
        </w:rPr>
      </w:pPr>
    </w:p>
    <w:p w14:paraId="16E13AA4" w14:textId="5161DCD8" w:rsidR="00F06A68" w:rsidRDefault="00F06A68" w:rsidP="00173372">
      <w:pPr>
        <w:numPr>
          <w:ilvl w:val="0"/>
          <w:numId w:val="7"/>
        </w:numPr>
        <w:rPr>
          <w:rFonts w:ascii="Arial" w:hAnsi="Arial" w:cs="Arial"/>
          <w:lang w:val="en-US"/>
        </w:rPr>
      </w:pPr>
      <w:r>
        <w:rPr>
          <w:rFonts w:ascii="Arial" w:hAnsi="Arial" w:cs="Arial"/>
          <w:lang w:val="en-US"/>
        </w:rPr>
        <w:t>However, the results show improvemen</w:t>
      </w:r>
      <w:r w:rsidR="00BB565E">
        <w:rPr>
          <w:rFonts w:ascii="Arial" w:hAnsi="Arial" w:cs="Arial"/>
          <w:lang w:val="en-US"/>
        </w:rPr>
        <w:t xml:space="preserve">t is still needed in the areas </w:t>
      </w:r>
      <w:r>
        <w:rPr>
          <w:rFonts w:ascii="Arial" w:hAnsi="Arial" w:cs="Arial"/>
          <w:lang w:val="en-US"/>
        </w:rPr>
        <w:t>below:</w:t>
      </w:r>
    </w:p>
    <w:p w14:paraId="141FF600" w14:textId="77777777" w:rsidR="00F06A68" w:rsidRDefault="00F06A68" w:rsidP="00173372">
      <w:pPr>
        <w:pStyle w:val="ListParagraph"/>
        <w:rPr>
          <w:rFonts w:ascii="Arial" w:hAnsi="Arial" w:cs="Arial"/>
          <w:lang w:val="en-US"/>
        </w:rPr>
      </w:pPr>
    </w:p>
    <w:p w14:paraId="6C77B6CA" w14:textId="70F4E6F6" w:rsidR="00F06A68" w:rsidRDefault="00F06A68" w:rsidP="00173372">
      <w:pPr>
        <w:numPr>
          <w:ilvl w:val="1"/>
          <w:numId w:val="7"/>
        </w:numPr>
        <w:rPr>
          <w:rFonts w:ascii="Arial" w:hAnsi="Arial" w:cs="Arial"/>
          <w:lang w:val="en-US"/>
        </w:rPr>
      </w:pPr>
      <w:r>
        <w:rPr>
          <w:rFonts w:ascii="Arial" w:hAnsi="Arial" w:cs="Arial"/>
          <w:lang w:val="en-US"/>
        </w:rPr>
        <w:t>Poor engagement – lack of Scheme Manager/Board Chair involvement in completion of the survey (which may indicate that surveys were completed and submitted without appropriate sign off – a lack of internal control); scheme managers or delegated representative not attending Board meetings.</w:t>
      </w:r>
    </w:p>
    <w:p w14:paraId="6CB2DC05" w14:textId="77777777" w:rsidR="00F06A68" w:rsidRDefault="00F06A68" w:rsidP="00173372">
      <w:pPr>
        <w:ind w:left="792"/>
        <w:rPr>
          <w:rFonts w:ascii="Arial" w:hAnsi="Arial" w:cs="Arial"/>
          <w:lang w:val="en-US"/>
        </w:rPr>
      </w:pPr>
    </w:p>
    <w:p w14:paraId="507699BE" w14:textId="6FDB3814" w:rsidR="00F06A68" w:rsidRDefault="00F06A68" w:rsidP="00173372">
      <w:pPr>
        <w:numPr>
          <w:ilvl w:val="1"/>
          <w:numId w:val="7"/>
        </w:numPr>
        <w:rPr>
          <w:rFonts w:ascii="Arial" w:hAnsi="Arial" w:cs="Arial"/>
          <w:lang w:val="en-US"/>
        </w:rPr>
      </w:pPr>
      <w:r>
        <w:rPr>
          <w:rFonts w:ascii="Arial" w:hAnsi="Arial" w:cs="Arial"/>
          <w:lang w:val="en-US"/>
        </w:rPr>
        <w:t>Poor record keeping – 21 per cent of respondents identify poor records as a top risk, yet take up of data improvement plans are low.</w:t>
      </w:r>
    </w:p>
    <w:p w14:paraId="24AF8FB3" w14:textId="77777777" w:rsidR="00F06A68" w:rsidRDefault="00F06A68" w:rsidP="00173372">
      <w:pPr>
        <w:rPr>
          <w:rFonts w:ascii="Arial" w:hAnsi="Arial" w:cs="Arial"/>
          <w:lang w:val="en-US"/>
        </w:rPr>
      </w:pPr>
    </w:p>
    <w:p w14:paraId="7BEA8AC9" w14:textId="63154D9C" w:rsidR="00F06A68" w:rsidRDefault="00F06A68" w:rsidP="00173372">
      <w:pPr>
        <w:numPr>
          <w:ilvl w:val="1"/>
          <w:numId w:val="7"/>
        </w:numPr>
        <w:rPr>
          <w:rFonts w:ascii="Arial" w:hAnsi="Arial" w:cs="Arial"/>
          <w:lang w:val="en-US"/>
        </w:rPr>
      </w:pPr>
      <w:r>
        <w:rPr>
          <w:rFonts w:ascii="Arial" w:hAnsi="Arial" w:cs="Arial"/>
          <w:lang w:val="en-US"/>
        </w:rPr>
        <w:t>Poor compliance – low level of current risk registers and risk assessment.</w:t>
      </w:r>
    </w:p>
    <w:p w14:paraId="7287D2FF" w14:textId="77777777" w:rsidR="00F06A68" w:rsidRDefault="00F06A68" w:rsidP="00173372">
      <w:pPr>
        <w:rPr>
          <w:rFonts w:ascii="Arial" w:hAnsi="Arial" w:cs="Arial"/>
          <w:lang w:val="en-US"/>
        </w:rPr>
      </w:pPr>
    </w:p>
    <w:p w14:paraId="30C7264E" w14:textId="31872681" w:rsidR="00F06A68" w:rsidRDefault="00F06A68" w:rsidP="00173372">
      <w:pPr>
        <w:numPr>
          <w:ilvl w:val="1"/>
          <w:numId w:val="7"/>
        </w:numPr>
        <w:rPr>
          <w:rFonts w:ascii="Arial" w:hAnsi="Arial" w:cs="Arial"/>
          <w:lang w:val="en-US"/>
        </w:rPr>
      </w:pPr>
      <w:r>
        <w:rPr>
          <w:rFonts w:ascii="Arial" w:hAnsi="Arial" w:cs="Arial"/>
          <w:lang w:val="en-US"/>
        </w:rPr>
        <w:lastRenderedPageBreak/>
        <w:t xml:space="preserve">Poor communication – 54 per cent of membership did not receive annual benefit statements by the statutory deadline. </w:t>
      </w:r>
    </w:p>
    <w:p w14:paraId="5160D74C" w14:textId="77777777" w:rsidR="00F06A68" w:rsidRDefault="00F06A68" w:rsidP="00173372">
      <w:pPr>
        <w:rPr>
          <w:rFonts w:ascii="Arial" w:hAnsi="Arial" w:cs="Arial"/>
          <w:lang w:val="en-US"/>
        </w:rPr>
      </w:pPr>
    </w:p>
    <w:p w14:paraId="6C83BE73" w14:textId="62602037" w:rsidR="00F06A68" w:rsidRPr="00F06A68" w:rsidRDefault="00F06A68" w:rsidP="00173372">
      <w:pPr>
        <w:numPr>
          <w:ilvl w:val="0"/>
          <w:numId w:val="7"/>
        </w:numPr>
        <w:rPr>
          <w:rFonts w:ascii="Arial" w:hAnsi="Arial" w:cs="Arial"/>
          <w:i/>
          <w:lang w:val="en-US"/>
        </w:rPr>
      </w:pPr>
      <w:r w:rsidRPr="006265B3">
        <w:rPr>
          <w:rFonts w:ascii="Arial" w:hAnsi="Arial" w:cs="Arial"/>
          <w:lang w:val="en-US"/>
        </w:rPr>
        <w:t>The new Firefighter Pensions Adviser who is due to start with LGA at the end of June will work with the Scheme Advisory Board</w:t>
      </w:r>
      <w:r w:rsidR="002D76FC">
        <w:rPr>
          <w:rFonts w:ascii="Arial" w:hAnsi="Arial" w:cs="Arial"/>
          <w:lang w:val="en-US"/>
        </w:rPr>
        <w:t xml:space="preserve"> (SAB)</w:t>
      </w:r>
      <w:r w:rsidRPr="006265B3">
        <w:rPr>
          <w:rFonts w:ascii="Arial" w:hAnsi="Arial" w:cs="Arial"/>
          <w:lang w:val="en-US"/>
        </w:rPr>
        <w:t xml:space="preserve"> to provide support to Local Pension Boards to improve this position over the next year.</w:t>
      </w:r>
    </w:p>
    <w:p w14:paraId="57793410" w14:textId="77777777" w:rsidR="00F06A68" w:rsidRDefault="00F06A68" w:rsidP="00173372">
      <w:pPr>
        <w:rPr>
          <w:rFonts w:ascii="Arial" w:hAnsi="Arial" w:cs="Arial"/>
          <w:lang w:val="en-US"/>
        </w:rPr>
      </w:pPr>
    </w:p>
    <w:p w14:paraId="5FCF2885" w14:textId="5943B8E3" w:rsidR="00F06A68" w:rsidRDefault="00F06A68" w:rsidP="00173372">
      <w:pPr>
        <w:rPr>
          <w:rFonts w:ascii="Arial" w:hAnsi="Arial" w:cs="Arial"/>
          <w:b/>
          <w:lang w:val="en-US"/>
        </w:rPr>
      </w:pPr>
      <w:r>
        <w:rPr>
          <w:rFonts w:ascii="Arial" w:hAnsi="Arial" w:cs="Arial"/>
          <w:b/>
          <w:lang w:val="en-US"/>
        </w:rPr>
        <w:t>Scheme contracted out reconciliation</w:t>
      </w:r>
    </w:p>
    <w:p w14:paraId="295266EF" w14:textId="77777777" w:rsidR="00F06A68" w:rsidRDefault="00F06A68" w:rsidP="00173372">
      <w:pPr>
        <w:rPr>
          <w:rFonts w:ascii="Arial" w:hAnsi="Arial" w:cs="Arial"/>
          <w:b/>
          <w:lang w:val="en-US"/>
        </w:rPr>
      </w:pPr>
    </w:p>
    <w:p w14:paraId="09E8DDB6" w14:textId="77777777" w:rsidR="00F06A68" w:rsidRPr="006265B3" w:rsidRDefault="00F06A68" w:rsidP="00173372">
      <w:pPr>
        <w:numPr>
          <w:ilvl w:val="0"/>
          <w:numId w:val="7"/>
        </w:numPr>
        <w:rPr>
          <w:rFonts w:ascii="Arial" w:hAnsi="Arial" w:cs="Arial"/>
          <w:lang w:val="en-US"/>
        </w:rPr>
      </w:pPr>
      <w:r w:rsidRPr="006265B3">
        <w:rPr>
          <w:rFonts w:ascii="Arial" w:hAnsi="Arial" w:cs="Arial"/>
          <w:lang w:val="en-US"/>
        </w:rPr>
        <w:t xml:space="preserve">The contracted out reconciliation is the data match of HMRC and pension scheme records, there are over 16 million contracted out individuals in the UK and by December 2018, the data held by HMRC has to be matched with the data held by the schemes, so monitoring of progress and adherence to timescales is important. </w:t>
      </w:r>
    </w:p>
    <w:p w14:paraId="458E5673" w14:textId="77777777" w:rsidR="00F06A68" w:rsidRPr="006265B3" w:rsidRDefault="00F06A68" w:rsidP="00173372">
      <w:pPr>
        <w:ind w:left="567" w:hanging="567"/>
        <w:rPr>
          <w:rFonts w:ascii="Arial" w:hAnsi="Arial" w:cs="Arial"/>
          <w:lang w:val="en-US"/>
        </w:rPr>
      </w:pPr>
    </w:p>
    <w:p w14:paraId="009750A0" w14:textId="20AED684" w:rsidR="00F06A68" w:rsidRPr="006265B3" w:rsidRDefault="00F06A68" w:rsidP="00173372">
      <w:pPr>
        <w:numPr>
          <w:ilvl w:val="0"/>
          <w:numId w:val="7"/>
        </w:numPr>
        <w:rPr>
          <w:rFonts w:ascii="Arial" w:hAnsi="Arial" w:cs="Arial"/>
          <w:lang w:val="en-US"/>
        </w:rPr>
      </w:pPr>
      <w:r w:rsidRPr="006265B3">
        <w:rPr>
          <w:rFonts w:ascii="Arial" w:hAnsi="Arial" w:cs="Arial"/>
          <w:lang w:val="en-US"/>
        </w:rPr>
        <w:t>In data obtained from HMRC in January 2017</w:t>
      </w:r>
      <w:r w:rsidR="00A92E41">
        <w:rPr>
          <w:rFonts w:ascii="Arial" w:hAnsi="Arial" w:cs="Arial"/>
          <w:lang w:val="en-US"/>
        </w:rPr>
        <w:t>,</w:t>
      </w:r>
      <w:r w:rsidRPr="006265B3">
        <w:rPr>
          <w:rFonts w:ascii="Arial" w:hAnsi="Arial" w:cs="Arial"/>
          <w:lang w:val="en-US"/>
        </w:rPr>
        <w:t xml:space="preserve"> 74</w:t>
      </w:r>
      <w:r w:rsidR="002D76FC">
        <w:rPr>
          <w:rFonts w:ascii="Arial" w:hAnsi="Arial" w:cs="Arial"/>
          <w:lang w:val="en-US"/>
        </w:rPr>
        <w:t xml:space="preserve"> per cent</w:t>
      </w:r>
      <w:r w:rsidRPr="006265B3">
        <w:rPr>
          <w:rFonts w:ascii="Arial" w:hAnsi="Arial" w:cs="Arial"/>
          <w:lang w:val="en-US"/>
        </w:rPr>
        <w:t xml:space="preserve"> of Firefighter Schemes had yet to query their data with HMRC.  It will be important for Scheme Managers and Local Pension Boards to monitor this position to ensure their data has been fully reconciled by the cut off period.</w:t>
      </w:r>
    </w:p>
    <w:p w14:paraId="47FCAB3E" w14:textId="77777777" w:rsidR="00F06A68" w:rsidRPr="006265B3" w:rsidRDefault="00F06A68" w:rsidP="00173372">
      <w:pPr>
        <w:ind w:left="567" w:hanging="567"/>
        <w:rPr>
          <w:rFonts w:ascii="Arial" w:hAnsi="Arial" w:cs="Arial"/>
          <w:lang w:val="en-US"/>
        </w:rPr>
      </w:pPr>
    </w:p>
    <w:p w14:paraId="43424E4E" w14:textId="77777777" w:rsidR="00F06A68" w:rsidRPr="006265B3" w:rsidRDefault="00F06A68" w:rsidP="00173372">
      <w:pPr>
        <w:numPr>
          <w:ilvl w:val="0"/>
          <w:numId w:val="7"/>
        </w:numPr>
        <w:rPr>
          <w:rFonts w:ascii="Arial" w:hAnsi="Arial" w:cs="Arial"/>
          <w:lang w:val="en-US"/>
        </w:rPr>
      </w:pPr>
      <w:r w:rsidRPr="006265B3">
        <w:rPr>
          <w:rFonts w:ascii="Arial" w:hAnsi="Arial" w:cs="Arial"/>
          <w:lang w:val="en-US"/>
        </w:rPr>
        <w:t>As a locally-administered, unfunded scheme (along with the police pension scheme), the cost for this work comes from the operating accounts. Therefore Fire and Rescue Authorities will be mindful that there is a cost and resource impact in undertaking this work.</w:t>
      </w:r>
    </w:p>
    <w:p w14:paraId="61C2D10A" w14:textId="77777777" w:rsidR="00F06A68" w:rsidRPr="006265B3" w:rsidRDefault="00F06A68" w:rsidP="00173372">
      <w:pPr>
        <w:ind w:left="567" w:hanging="567"/>
        <w:rPr>
          <w:rFonts w:ascii="Arial" w:hAnsi="Arial" w:cs="Arial"/>
          <w:i/>
          <w:lang w:val="en-US"/>
        </w:rPr>
      </w:pPr>
    </w:p>
    <w:p w14:paraId="09DA4A26" w14:textId="77777777" w:rsidR="00F06A68" w:rsidRPr="00F06A68" w:rsidRDefault="00F06A68" w:rsidP="00173372">
      <w:pPr>
        <w:ind w:left="567" w:hanging="567"/>
        <w:rPr>
          <w:rFonts w:ascii="Arial" w:hAnsi="Arial" w:cs="Arial"/>
          <w:b/>
        </w:rPr>
      </w:pPr>
      <w:r w:rsidRPr="00F06A68">
        <w:rPr>
          <w:rFonts w:ascii="Arial" w:hAnsi="Arial" w:cs="Arial"/>
          <w:b/>
          <w:lang w:val="en-US"/>
        </w:rPr>
        <w:t>Scheme Advisory Board</w:t>
      </w:r>
    </w:p>
    <w:p w14:paraId="165B3B4B" w14:textId="77777777" w:rsidR="00F06A68" w:rsidRPr="006265B3" w:rsidRDefault="00F06A68" w:rsidP="00173372">
      <w:pPr>
        <w:ind w:left="567" w:hanging="567"/>
        <w:rPr>
          <w:rFonts w:ascii="Arial" w:hAnsi="Arial" w:cs="Arial"/>
        </w:rPr>
      </w:pPr>
    </w:p>
    <w:p w14:paraId="44FE7B85" w14:textId="202293A4" w:rsidR="00F06A68" w:rsidRDefault="00F06A68" w:rsidP="00173372">
      <w:pPr>
        <w:numPr>
          <w:ilvl w:val="0"/>
          <w:numId w:val="7"/>
        </w:numPr>
        <w:rPr>
          <w:rFonts w:ascii="Arial" w:hAnsi="Arial" w:cs="Arial"/>
          <w:lang w:val="en-US"/>
        </w:rPr>
      </w:pPr>
      <w:r w:rsidRPr="006265B3">
        <w:rPr>
          <w:rFonts w:ascii="Arial" w:hAnsi="Arial" w:cs="Arial"/>
          <w:lang w:val="en-US"/>
        </w:rPr>
        <w:t>The Home Office will be consulting the SAB for their views on how past service costs for three specific events should be treated in the valuation, a detailed paper will be discussed with</w:t>
      </w:r>
      <w:r w:rsidR="002D76FC">
        <w:rPr>
          <w:rFonts w:ascii="Arial" w:hAnsi="Arial" w:cs="Arial"/>
          <w:lang w:val="en-US"/>
        </w:rPr>
        <w:t xml:space="preserve"> the SAB at their meeting on 14</w:t>
      </w:r>
      <w:r w:rsidRPr="006265B3">
        <w:rPr>
          <w:rFonts w:ascii="Arial" w:hAnsi="Arial" w:cs="Arial"/>
          <w:lang w:val="en-US"/>
        </w:rPr>
        <w:t xml:space="preserve"> June 2017</w:t>
      </w:r>
      <w:r w:rsidR="00A92E41">
        <w:rPr>
          <w:rFonts w:ascii="Arial" w:hAnsi="Arial" w:cs="Arial"/>
          <w:lang w:val="en-US"/>
        </w:rPr>
        <w:t xml:space="preserve"> and</w:t>
      </w:r>
      <w:r w:rsidRPr="006265B3">
        <w:rPr>
          <w:rFonts w:ascii="Arial" w:hAnsi="Arial" w:cs="Arial"/>
          <w:lang w:val="en-US"/>
        </w:rPr>
        <w:t xml:space="preserve"> comments are to be received by 31 July 2017.</w:t>
      </w:r>
    </w:p>
    <w:p w14:paraId="71D57DE5" w14:textId="77777777" w:rsidR="00F06A68" w:rsidRPr="006265B3" w:rsidRDefault="00F06A68" w:rsidP="00173372">
      <w:pPr>
        <w:ind w:left="360"/>
        <w:rPr>
          <w:rFonts w:ascii="Arial" w:hAnsi="Arial" w:cs="Arial"/>
          <w:lang w:val="en-US"/>
        </w:rPr>
      </w:pPr>
    </w:p>
    <w:p w14:paraId="1618C30B" w14:textId="00176591" w:rsidR="00F06A68" w:rsidRPr="004B4300" w:rsidRDefault="004B4300" w:rsidP="00173372">
      <w:pPr>
        <w:pStyle w:val="ListParagraph"/>
        <w:numPr>
          <w:ilvl w:val="0"/>
          <w:numId w:val="7"/>
        </w:numPr>
        <w:rPr>
          <w:rFonts w:ascii="Arial" w:hAnsi="Arial" w:cs="Arial"/>
          <w:i/>
          <w:lang w:val="en-US"/>
        </w:rPr>
      </w:pPr>
      <w:r>
        <w:rPr>
          <w:rFonts w:ascii="Arial" w:hAnsi="Arial" w:cs="Arial"/>
          <w:lang w:val="en-US"/>
        </w:rPr>
        <w:t>The three events are:</w:t>
      </w:r>
    </w:p>
    <w:p w14:paraId="1CA02A9E" w14:textId="77777777" w:rsidR="004B4300" w:rsidRPr="004B4300" w:rsidRDefault="004B4300" w:rsidP="00173372">
      <w:pPr>
        <w:pStyle w:val="ListParagraph"/>
        <w:rPr>
          <w:rFonts w:ascii="Arial" w:hAnsi="Arial" w:cs="Arial"/>
          <w:i/>
          <w:lang w:val="en-US"/>
        </w:rPr>
      </w:pPr>
    </w:p>
    <w:p w14:paraId="133C01A2" w14:textId="71A4802A"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“Milne payments” – the additio</w:t>
      </w:r>
      <w:r w:rsidR="00A92E41">
        <w:rPr>
          <w:rFonts w:ascii="Arial" w:hAnsi="Arial" w:cs="Arial"/>
          <w:lang w:val="en-US"/>
        </w:rPr>
        <w:t>nal payments made following the</w:t>
      </w:r>
      <w:r>
        <w:rPr>
          <w:rFonts w:ascii="Arial" w:hAnsi="Arial" w:cs="Arial"/>
          <w:lang w:val="en-US"/>
        </w:rPr>
        <w:t xml:space="preserve"> Pensions Ombudsman’s determination in the case of Milne (payments generally made during the year 2015/16).</w:t>
      </w:r>
    </w:p>
    <w:p w14:paraId="6C95AB73" w14:textId="77777777" w:rsidR="004B4300" w:rsidRPr="004B4300" w:rsidRDefault="004B4300" w:rsidP="00173372">
      <w:pPr>
        <w:pStyle w:val="ListParagraph"/>
        <w:ind w:left="792"/>
        <w:rPr>
          <w:rFonts w:ascii="Arial" w:hAnsi="Arial" w:cs="Arial"/>
          <w:i/>
          <w:lang w:val="en-US"/>
        </w:rPr>
      </w:pPr>
    </w:p>
    <w:p w14:paraId="38C1CC13" w14:textId="1F612358"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“Retained option” – the option for eligible retained members to purchase past service in the modified/special section of the 2006 Scheme (options generally made over the year 2015/16).</w:t>
      </w:r>
    </w:p>
    <w:p w14:paraId="44DF5BBB" w14:textId="77777777" w:rsidR="004B4300" w:rsidRPr="004B4300" w:rsidRDefault="004B4300" w:rsidP="00173372">
      <w:pPr>
        <w:rPr>
          <w:rFonts w:ascii="Arial" w:hAnsi="Arial" w:cs="Arial"/>
          <w:i/>
          <w:lang w:val="en-US"/>
        </w:rPr>
      </w:pPr>
    </w:p>
    <w:p w14:paraId="1B52AB04" w14:textId="0BCBE8AE"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“Refund payments” – the refunds of employee contributions being paid to eligible firefighters who made contributions after they had reached their maximum pensionable service in the 1992 Scheme prior to age 50 (refunds generally paid during the year 2015/16).</w:t>
      </w:r>
    </w:p>
    <w:p w14:paraId="5A9D5201" w14:textId="77777777" w:rsidR="004B4300" w:rsidRPr="004B4300" w:rsidRDefault="004B4300" w:rsidP="00173372">
      <w:pPr>
        <w:pStyle w:val="ListParagraph"/>
        <w:rPr>
          <w:rFonts w:ascii="Arial" w:hAnsi="Arial" w:cs="Arial"/>
          <w:i/>
          <w:lang w:val="en-US"/>
        </w:rPr>
      </w:pPr>
    </w:p>
    <w:p w14:paraId="41C26B5B" w14:textId="4A27F6B1" w:rsidR="004B4300" w:rsidRPr="004B4300" w:rsidRDefault="004B4300" w:rsidP="00173372">
      <w:pPr>
        <w:pStyle w:val="ListParagraph"/>
        <w:numPr>
          <w:ilvl w:val="0"/>
          <w:numId w:val="7"/>
        </w:numPr>
        <w:rPr>
          <w:rFonts w:ascii="Arial" w:hAnsi="Arial" w:cs="Arial"/>
          <w:i/>
          <w:lang w:val="en-US"/>
        </w:rPr>
      </w:pPr>
      <w:r>
        <w:rPr>
          <w:rFonts w:ascii="Arial" w:hAnsi="Arial" w:cs="Arial"/>
          <w:lang w:val="en-US"/>
        </w:rPr>
        <w:t>All three events have resulted in additional cost or expenditure for the Fire Schemes. At a high level, these costs will need to be picked up in one of, or a combination of, three ways:</w:t>
      </w:r>
    </w:p>
    <w:p w14:paraId="08F98C72" w14:textId="77777777" w:rsidR="004B4300" w:rsidRPr="004B4300" w:rsidRDefault="004B4300" w:rsidP="00173372">
      <w:pPr>
        <w:pStyle w:val="ListParagraph"/>
        <w:ind w:left="360"/>
        <w:rPr>
          <w:rFonts w:ascii="Arial" w:hAnsi="Arial" w:cs="Arial"/>
          <w:i/>
          <w:lang w:val="en-US"/>
        </w:rPr>
      </w:pPr>
    </w:p>
    <w:p w14:paraId="6D25472A" w14:textId="2C1EFFCC" w:rsidR="004B4300" w:rsidRPr="002D76FC" w:rsidRDefault="004B4300" w:rsidP="00173372">
      <w:pPr>
        <w:pStyle w:val="ListParagraph"/>
        <w:numPr>
          <w:ilvl w:val="1"/>
          <w:numId w:val="7"/>
        </w:numPr>
        <w:ind w:hanging="508"/>
        <w:rPr>
          <w:rFonts w:ascii="Arial" w:hAnsi="Arial" w:cs="Arial"/>
          <w:i/>
          <w:lang w:val="en-US"/>
        </w:rPr>
      </w:pPr>
      <w:r>
        <w:rPr>
          <w:rFonts w:ascii="Arial" w:hAnsi="Arial" w:cs="Arial"/>
          <w:lang w:val="en-US"/>
        </w:rPr>
        <w:t>Employer cost</w:t>
      </w:r>
      <w:r w:rsidR="002D76FC">
        <w:rPr>
          <w:rFonts w:ascii="Arial" w:hAnsi="Arial" w:cs="Arial"/>
          <w:lang w:val="en-US"/>
        </w:rPr>
        <w:t>.</w:t>
      </w:r>
    </w:p>
    <w:p w14:paraId="49AA7A34" w14:textId="77777777" w:rsidR="002D76FC" w:rsidRPr="004B4300" w:rsidRDefault="002D76FC" w:rsidP="00173372">
      <w:pPr>
        <w:pStyle w:val="ListParagraph"/>
        <w:ind w:left="792"/>
        <w:rPr>
          <w:rFonts w:ascii="Arial" w:hAnsi="Arial" w:cs="Arial"/>
          <w:i/>
          <w:lang w:val="en-US"/>
        </w:rPr>
      </w:pPr>
    </w:p>
    <w:p w14:paraId="4F99EE82" w14:textId="3C4805F5" w:rsidR="004B4300" w:rsidRPr="004B4300" w:rsidRDefault="004B4300" w:rsidP="00173372">
      <w:pPr>
        <w:pStyle w:val="ListParagraph"/>
        <w:numPr>
          <w:ilvl w:val="1"/>
          <w:numId w:val="7"/>
        </w:numPr>
        <w:ind w:hanging="508"/>
        <w:rPr>
          <w:rFonts w:ascii="Arial" w:hAnsi="Arial" w:cs="Arial"/>
          <w:i/>
          <w:lang w:val="en-US"/>
        </w:rPr>
      </w:pPr>
      <w:r>
        <w:rPr>
          <w:rFonts w:ascii="Arial" w:hAnsi="Arial" w:cs="Arial"/>
          <w:lang w:val="en-US"/>
        </w:rPr>
        <w:t>Employee cost</w:t>
      </w:r>
      <w:r w:rsidR="002D76FC">
        <w:rPr>
          <w:rFonts w:ascii="Arial" w:hAnsi="Arial" w:cs="Arial"/>
          <w:lang w:val="en-US"/>
        </w:rPr>
        <w:t>.</w:t>
      </w:r>
    </w:p>
    <w:p w14:paraId="688DA1E4" w14:textId="77777777" w:rsidR="004B4300" w:rsidRPr="004B4300" w:rsidRDefault="004B4300" w:rsidP="00173372">
      <w:pPr>
        <w:pStyle w:val="ListParagraph"/>
        <w:ind w:left="792"/>
        <w:rPr>
          <w:rFonts w:ascii="Arial" w:hAnsi="Arial" w:cs="Arial"/>
          <w:i/>
          <w:lang w:val="en-US"/>
        </w:rPr>
      </w:pPr>
    </w:p>
    <w:p w14:paraId="7931DA84" w14:textId="32196178" w:rsidR="004B4300" w:rsidRPr="00F06A68" w:rsidRDefault="004B4300" w:rsidP="00173372">
      <w:pPr>
        <w:pStyle w:val="ListParagraph"/>
        <w:numPr>
          <w:ilvl w:val="1"/>
          <w:numId w:val="7"/>
        </w:numPr>
        <w:ind w:hanging="508"/>
        <w:rPr>
          <w:rFonts w:ascii="Arial" w:hAnsi="Arial" w:cs="Arial"/>
          <w:i/>
          <w:lang w:val="en-US"/>
        </w:rPr>
      </w:pPr>
      <w:r>
        <w:rPr>
          <w:rFonts w:ascii="Arial" w:hAnsi="Arial" w:cs="Arial"/>
          <w:lang w:val="en-US"/>
        </w:rPr>
        <w:t>Central Government cost</w:t>
      </w:r>
      <w:r w:rsidR="002D76FC">
        <w:rPr>
          <w:rFonts w:ascii="Arial" w:hAnsi="Arial" w:cs="Arial"/>
          <w:lang w:val="en-US"/>
        </w:rPr>
        <w:t>.</w:t>
      </w:r>
    </w:p>
    <w:p w14:paraId="6C847B9D" w14:textId="77777777" w:rsidR="00F06A68" w:rsidRDefault="00F06A68" w:rsidP="00173372">
      <w:pPr>
        <w:ind w:left="360"/>
        <w:rPr>
          <w:rFonts w:ascii="Arial" w:hAnsi="Arial" w:cs="Arial"/>
          <w:lang w:val="en-US"/>
        </w:rPr>
      </w:pPr>
    </w:p>
    <w:p w14:paraId="1C8895AD" w14:textId="77808229" w:rsidR="004B4300" w:rsidRDefault="004B4300" w:rsidP="00173372">
      <w:pPr>
        <w:pStyle w:val="ListParagraph"/>
        <w:numPr>
          <w:ilvl w:val="0"/>
          <w:numId w:val="7"/>
        </w:numPr>
        <w:rPr>
          <w:rFonts w:ascii="Arial" w:hAnsi="Arial" w:cs="Arial"/>
          <w:lang w:val="en-US"/>
        </w:rPr>
      </w:pPr>
      <w:r>
        <w:rPr>
          <w:rFonts w:ascii="Arial" w:hAnsi="Arial" w:cs="Arial"/>
          <w:lang w:val="en-US"/>
        </w:rPr>
        <w:t>The SAB have established a cost control committee to consider the issue at length in order to provide a response. This committee is chaired by Councillor John Fuller.</w:t>
      </w:r>
    </w:p>
    <w:p w14:paraId="51A62557" w14:textId="77777777" w:rsidR="004B4300" w:rsidRDefault="004B4300" w:rsidP="00173372">
      <w:pPr>
        <w:pStyle w:val="ListParagraph"/>
        <w:ind w:left="360"/>
        <w:rPr>
          <w:rFonts w:ascii="Arial" w:hAnsi="Arial" w:cs="Arial"/>
          <w:lang w:val="en-US"/>
        </w:rPr>
      </w:pPr>
    </w:p>
    <w:p w14:paraId="2B97BED4" w14:textId="4FC2356B" w:rsidR="004B4300" w:rsidRDefault="004B4300" w:rsidP="00173372">
      <w:pPr>
        <w:pStyle w:val="ListParagraph"/>
        <w:numPr>
          <w:ilvl w:val="0"/>
          <w:numId w:val="7"/>
        </w:numPr>
        <w:rPr>
          <w:rFonts w:ascii="Arial" w:hAnsi="Arial" w:cs="Arial"/>
          <w:lang w:val="en-US"/>
        </w:rPr>
      </w:pPr>
      <w:r>
        <w:rPr>
          <w:rFonts w:ascii="Arial" w:hAnsi="Arial" w:cs="Arial"/>
          <w:lang w:val="en-US"/>
        </w:rPr>
        <w:t>The SAB will also be asked to comment on industry specific assumptions used in the valuation, such as average age of retirement and life expectancy. This request is expected in September 2017.</w:t>
      </w:r>
    </w:p>
    <w:p w14:paraId="32BE7604" w14:textId="77777777" w:rsidR="004B4300" w:rsidRDefault="004B4300" w:rsidP="00173372">
      <w:pPr>
        <w:rPr>
          <w:rFonts w:ascii="Arial" w:hAnsi="Arial" w:cs="Arial"/>
          <w:lang w:val="en-US"/>
        </w:rPr>
      </w:pPr>
    </w:p>
    <w:p w14:paraId="01C96D2E" w14:textId="11F463A4" w:rsidR="004B4300" w:rsidRDefault="004B4300" w:rsidP="00173372">
      <w:pPr>
        <w:rPr>
          <w:rFonts w:ascii="Arial" w:hAnsi="Arial" w:cs="Arial"/>
          <w:b/>
          <w:lang w:val="en-US"/>
        </w:rPr>
      </w:pPr>
      <w:r>
        <w:rPr>
          <w:rFonts w:ascii="Arial" w:hAnsi="Arial" w:cs="Arial"/>
          <w:b/>
          <w:lang w:val="en-US"/>
        </w:rPr>
        <w:t>Key wider workforce issues</w:t>
      </w:r>
    </w:p>
    <w:p w14:paraId="0C64CC0A" w14:textId="77777777" w:rsidR="004B4300" w:rsidRDefault="004B4300" w:rsidP="00173372">
      <w:pPr>
        <w:rPr>
          <w:rFonts w:ascii="Arial" w:hAnsi="Arial" w:cs="Arial"/>
          <w:b/>
          <w:lang w:val="en-US"/>
        </w:rPr>
      </w:pPr>
    </w:p>
    <w:p w14:paraId="451D5E4B" w14:textId="03551F55" w:rsidR="004B4300" w:rsidRDefault="004B4300" w:rsidP="00173372">
      <w:pPr>
        <w:rPr>
          <w:rFonts w:ascii="Arial" w:hAnsi="Arial" w:cs="Arial"/>
          <w:b/>
          <w:lang w:val="en-US"/>
        </w:rPr>
      </w:pPr>
      <w:r>
        <w:rPr>
          <w:rFonts w:ascii="Arial" w:hAnsi="Arial" w:cs="Arial"/>
          <w:b/>
          <w:lang w:val="en-US"/>
        </w:rPr>
        <w:t>Broadening the role of the firefighter</w:t>
      </w:r>
    </w:p>
    <w:p w14:paraId="12849502" w14:textId="77777777" w:rsidR="004B4300" w:rsidRDefault="004B4300" w:rsidP="00173372">
      <w:pPr>
        <w:rPr>
          <w:rFonts w:ascii="Arial" w:hAnsi="Arial" w:cs="Arial"/>
          <w:b/>
          <w:lang w:val="en-US"/>
        </w:rPr>
      </w:pPr>
    </w:p>
    <w:p w14:paraId="237F7B7D" w14:textId="08EFCCE7"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 xml:space="preserve">Since the last meeting of the </w:t>
      </w:r>
      <w:r w:rsidR="004D7455">
        <w:rPr>
          <w:rFonts w:ascii="Arial" w:hAnsi="Arial" w:cs="Arial"/>
          <w:lang w:val="en-US"/>
        </w:rPr>
        <w:t>Commission</w:t>
      </w:r>
      <w:r w:rsidRPr="006265B3">
        <w:rPr>
          <w:rFonts w:ascii="Arial" w:hAnsi="Arial" w:cs="Arial"/>
          <w:lang w:val="en-US"/>
        </w:rPr>
        <w:t xml:space="preserve"> there have been a number of developments, particularly in relation to the 38 trials being undertaken by 36 services across the UK. The trials range from co-responding only (either in specific areas or across a service) including </w:t>
      </w:r>
      <w:r w:rsidR="002D76FC" w:rsidRPr="006265B3">
        <w:rPr>
          <w:rFonts w:ascii="Arial" w:hAnsi="Arial" w:cs="Arial"/>
          <w:lang w:val="en-US"/>
        </w:rPr>
        <w:t>whole time</w:t>
      </w:r>
      <w:r w:rsidRPr="006265B3">
        <w:rPr>
          <w:rFonts w:ascii="Arial" w:hAnsi="Arial" w:cs="Arial"/>
          <w:lang w:val="en-US"/>
        </w:rPr>
        <w:t xml:space="preserve"> and/or retained personnel, to trials that include much wider work ranging from slips, trips and falls assessments and winter warmth assessments to offering</w:t>
      </w:r>
      <w:r w:rsidR="006440C1">
        <w:rPr>
          <w:rFonts w:ascii="Arial" w:hAnsi="Arial" w:cs="Arial"/>
          <w:lang w:val="en-US"/>
        </w:rPr>
        <w:t>, for example,</w:t>
      </w:r>
      <w:r w:rsidRPr="006265B3">
        <w:rPr>
          <w:rFonts w:ascii="Arial" w:hAnsi="Arial" w:cs="Arial"/>
          <w:lang w:val="en-US"/>
        </w:rPr>
        <w:t xml:space="preserve"> alcohol harm and reduction advice, and/or dementia advice providing referral and signposting opportunities as appropriate.</w:t>
      </w:r>
    </w:p>
    <w:p w14:paraId="6CB123E1" w14:textId="77777777" w:rsidR="004B4300" w:rsidRPr="006265B3" w:rsidRDefault="004B4300" w:rsidP="00173372">
      <w:pPr>
        <w:pStyle w:val="ListParagraph"/>
        <w:ind w:left="567"/>
        <w:contextualSpacing/>
        <w:rPr>
          <w:rFonts w:ascii="Arial" w:hAnsi="Arial" w:cs="Arial"/>
          <w:lang w:val="en-US"/>
        </w:rPr>
      </w:pPr>
    </w:p>
    <w:p w14:paraId="62BA54CA" w14:textId="0AC1099D"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The F</w:t>
      </w:r>
      <w:r w:rsidR="002D76FC">
        <w:rPr>
          <w:rFonts w:ascii="Arial" w:hAnsi="Arial" w:cs="Arial"/>
          <w:lang w:val="en-US"/>
        </w:rPr>
        <w:t xml:space="preserve">ire </w:t>
      </w:r>
      <w:r w:rsidRPr="006265B3">
        <w:rPr>
          <w:rFonts w:ascii="Arial" w:hAnsi="Arial" w:cs="Arial"/>
          <w:lang w:val="en-US"/>
        </w:rPr>
        <w:t>B</w:t>
      </w:r>
      <w:r w:rsidR="002D76FC">
        <w:rPr>
          <w:rFonts w:ascii="Arial" w:hAnsi="Arial" w:cs="Arial"/>
          <w:lang w:val="en-US"/>
        </w:rPr>
        <w:t xml:space="preserve">rigade </w:t>
      </w:r>
      <w:r w:rsidRPr="006265B3">
        <w:rPr>
          <w:rFonts w:ascii="Arial" w:hAnsi="Arial" w:cs="Arial"/>
          <w:lang w:val="en-US"/>
        </w:rPr>
        <w:t>U</w:t>
      </w:r>
      <w:r w:rsidR="002D76FC">
        <w:rPr>
          <w:rFonts w:ascii="Arial" w:hAnsi="Arial" w:cs="Arial"/>
          <w:lang w:val="en-US"/>
        </w:rPr>
        <w:t>nion (FBU)</w:t>
      </w:r>
      <w:r w:rsidRPr="006265B3">
        <w:rPr>
          <w:rFonts w:ascii="Arial" w:hAnsi="Arial" w:cs="Arial"/>
          <w:lang w:val="en-US"/>
        </w:rPr>
        <w:t xml:space="preserve"> has held two conferences at which engagement in the whole negotiation on the broadening role was debated. The special recall conference in March concluded that negotiation should continue as too should the trials (indicating </w:t>
      </w:r>
      <w:r>
        <w:rPr>
          <w:rFonts w:ascii="Arial" w:hAnsi="Arial" w:cs="Arial"/>
          <w:lang w:val="en-US"/>
        </w:rPr>
        <w:t>possibl</w:t>
      </w:r>
      <w:r w:rsidRPr="006265B3">
        <w:rPr>
          <w:rFonts w:ascii="Arial" w:hAnsi="Arial" w:cs="Arial"/>
          <w:lang w:val="en-US"/>
        </w:rPr>
        <w:t xml:space="preserve">y until November </w:t>
      </w:r>
      <w:r w:rsidR="006440C1">
        <w:rPr>
          <w:rFonts w:ascii="Arial" w:hAnsi="Arial" w:cs="Arial"/>
          <w:lang w:val="en-US"/>
        </w:rPr>
        <w:t>20</w:t>
      </w:r>
      <w:r w:rsidR="004D7455">
        <w:rPr>
          <w:rFonts w:ascii="Arial" w:hAnsi="Arial" w:cs="Arial"/>
          <w:lang w:val="en-US"/>
        </w:rPr>
        <w:t>17). H</w:t>
      </w:r>
      <w:r w:rsidRPr="006265B3">
        <w:rPr>
          <w:rFonts w:ascii="Arial" w:hAnsi="Arial" w:cs="Arial"/>
          <w:lang w:val="en-US"/>
        </w:rPr>
        <w:t xml:space="preserve">owever </w:t>
      </w:r>
      <w:r w:rsidR="004D7455">
        <w:rPr>
          <w:rFonts w:ascii="Arial" w:hAnsi="Arial" w:cs="Arial"/>
          <w:lang w:val="en-US"/>
        </w:rPr>
        <w:t xml:space="preserve">this was effectively </w:t>
      </w:r>
      <w:r w:rsidRPr="006265B3">
        <w:rPr>
          <w:rFonts w:ascii="Arial" w:hAnsi="Arial" w:cs="Arial"/>
          <w:lang w:val="en-US"/>
        </w:rPr>
        <w:t xml:space="preserve">subject to two points of review. </w:t>
      </w:r>
    </w:p>
    <w:p w14:paraId="2153B282" w14:textId="77777777" w:rsidR="004B4300" w:rsidRPr="006265B3" w:rsidRDefault="004B4300" w:rsidP="00173372">
      <w:pPr>
        <w:pStyle w:val="ListParagraph"/>
        <w:rPr>
          <w:rFonts w:ascii="Arial" w:hAnsi="Arial" w:cs="Arial"/>
          <w:lang w:val="en-US"/>
        </w:rPr>
      </w:pPr>
    </w:p>
    <w:p w14:paraId="22F3F900" w14:textId="77777777"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 xml:space="preserve">The first was that the learning points identified in the University of Hertfordshire trials evaluation report should be explored and resolved. Good progress should be made on that by the time of their routine conference in May. This was achieved by then through an NJC Technical Working Group. It met on three occasions over a short period of time and further meetings are scheduled to take forward more detailed work. </w:t>
      </w:r>
    </w:p>
    <w:p w14:paraId="04A42B54" w14:textId="77777777" w:rsidR="004B4300" w:rsidRPr="006265B3" w:rsidRDefault="004B4300" w:rsidP="00173372">
      <w:pPr>
        <w:pStyle w:val="ListParagraph"/>
        <w:rPr>
          <w:rFonts w:ascii="Arial" w:hAnsi="Arial" w:cs="Arial"/>
          <w:lang w:val="en-US"/>
        </w:rPr>
      </w:pPr>
    </w:p>
    <w:p w14:paraId="291EDD14" w14:textId="2E1AB4B3"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 xml:space="preserve">The second point was that there should be an ‘acceptable’ pay award in July </w:t>
      </w:r>
      <w:r w:rsidR="006440C1">
        <w:rPr>
          <w:rFonts w:ascii="Arial" w:hAnsi="Arial" w:cs="Arial"/>
          <w:lang w:val="en-US"/>
        </w:rPr>
        <w:t>20</w:t>
      </w:r>
      <w:r w:rsidRPr="006265B3">
        <w:rPr>
          <w:rFonts w:ascii="Arial" w:hAnsi="Arial" w:cs="Arial"/>
          <w:lang w:val="en-US"/>
        </w:rPr>
        <w:t xml:space="preserve">17. Discussion on that is on-going (reference paragraphs 23 and 24 below) and the National Employers </w:t>
      </w:r>
      <w:r w:rsidR="004D7455">
        <w:rPr>
          <w:rFonts w:ascii="Arial" w:hAnsi="Arial" w:cs="Arial"/>
          <w:lang w:val="en-US"/>
        </w:rPr>
        <w:t>have consulted</w:t>
      </w:r>
      <w:r w:rsidRPr="006265B3">
        <w:rPr>
          <w:rFonts w:ascii="Arial" w:hAnsi="Arial" w:cs="Arial"/>
          <w:lang w:val="en-US"/>
        </w:rPr>
        <w:t xml:space="preserve"> with FRAs at a number of regional meetings between 13</w:t>
      </w:r>
      <w:r w:rsidR="002D76FC">
        <w:rPr>
          <w:rFonts w:ascii="Arial" w:hAnsi="Arial" w:cs="Arial"/>
          <w:lang w:val="en-US"/>
        </w:rPr>
        <w:t xml:space="preserve"> - </w:t>
      </w:r>
      <w:r w:rsidRPr="006265B3">
        <w:rPr>
          <w:rFonts w:ascii="Arial" w:hAnsi="Arial" w:cs="Arial"/>
          <w:lang w:val="en-US"/>
        </w:rPr>
        <w:t xml:space="preserve">19 June. </w:t>
      </w:r>
    </w:p>
    <w:p w14:paraId="20141E83" w14:textId="77777777" w:rsidR="004B4300" w:rsidRPr="006265B3" w:rsidRDefault="004B4300" w:rsidP="00173372">
      <w:pPr>
        <w:pStyle w:val="ListParagraph"/>
        <w:rPr>
          <w:rFonts w:ascii="Arial" w:hAnsi="Arial" w:cs="Arial"/>
          <w:lang w:val="en-US"/>
        </w:rPr>
      </w:pPr>
    </w:p>
    <w:p w14:paraId="3EE33DB0" w14:textId="417B4151" w:rsidR="004B4300" w:rsidRPr="006265B3" w:rsidRDefault="004B4300" w:rsidP="00173372">
      <w:pPr>
        <w:pStyle w:val="ListParagraph"/>
        <w:numPr>
          <w:ilvl w:val="0"/>
          <w:numId w:val="7"/>
        </w:numPr>
        <w:contextualSpacing/>
        <w:rPr>
          <w:rFonts w:ascii="Arial" w:hAnsi="Arial" w:cs="Arial"/>
          <w:lang w:val="en-US"/>
        </w:rPr>
      </w:pPr>
      <w:r w:rsidRPr="006265B3">
        <w:rPr>
          <w:rFonts w:ascii="Arial" w:hAnsi="Arial" w:cs="Arial"/>
          <w:lang w:val="en-US"/>
        </w:rPr>
        <w:t>At the NJC meeting on 1 June</w:t>
      </w:r>
      <w:r w:rsidR="006440C1">
        <w:rPr>
          <w:rFonts w:ascii="Arial" w:hAnsi="Arial" w:cs="Arial"/>
          <w:lang w:val="en-US"/>
        </w:rPr>
        <w:t>,</w:t>
      </w:r>
      <w:r w:rsidRPr="006265B3">
        <w:rPr>
          <w:rFonts w:ascii="Arial" w:hAnsi="Arial" w:cs="Arial"/>
          <w:lang w:val="en-US"/>
        </w:rPr>
        <w:t xml:space="preserve"> the Employees’ Side Secretary advised that following its </w:t>
      </w:r>
      <w:r>
        <w:rPr>
          <w:rFonts w:ascii="Arial" w:hAnsi="Arial" w:cs="Arial"/>
          <w:lang w:val="en-US"/>
        </w:rPr>
        <w:t xml:space="preserve">normal scheduled </w:t>
      </w:r>
      <w:r w:rsidRPr="006265B3">
        <w:rPr>
          <w:rFonts w:ascii="Arial" w:hAnsi="Arial" w:cs="Arial"/>
          <w:lang w:val="en-US"/>
        </w:rPr>
        <w:t xml:space="preserve">conference in May the FBU would not be able to support continuation of work under the trials with effect from 7 July (or shortly thereafter) should there not be a positive response to its pay claim. </w:t>
      </w:r>
    </w:p>
    <w:p w14:paraId="2EC26853" w14:textId="77777777" w:rsidR="004B4300" w:rsidRPr="006265B3" w:rsidRDefault="004B4300" w:rsidP="00173372">
      <w:pPr>
        <w:contextualSpacing/>
        <w:rPr>
          <w:rFonts w:ascii="Arial" w:hAnsi="Arial" w:cs="Arial"/>
          <w:lang w:val="en-US"/>
        </w:rPr>
      </w:pPr>
    </w:p>
    <w:p w14:paraId="76EE82D2" w14:textId="34273085" w:rsidR="004B4300" w:rsidRPr="00173372" w:rsidRDefault="004B4300" w:rsidP="00173372">
      <w:pPr>
        <w:numPr>
          <w:ilvl w:val="0"/>
          <w:numId w:val="7"/>
        </w:numPr>
        <w:contextualSpacing/>
        <w:rPr>
          <w:rFonts w:ascii="Arial" w:hAnsi="Arial" w:cs="Arial"/>
          <w:i/>
        </w:rPr>
      </w:pPr>
      <w:r w:rsidRPr="006265B3">
        <w:rPr>
          <w:rFonts w:ascii="Arial" w:hAnsi="Arial" w:cs="Arial"/>
        </w:rPr>
        <w:lastRenderedPageBreak/>
        <w:t>The broadening the role of the firefighter discussions also includes areas covered by the other NJC workstreams, for example MTFA.</w:t>
      </w:r>
    </w:p>
    <w:p w14:paraId="78140C42" w14:textId="77777777" w:rsidR="00173372" w:rsidRPr="00173372" w:rsidRDefault="00173372" w:rsidP="00173372">
      <w:pPr>
        <w:contextualSpacing/>
        <w:rPr>
          <w:rFonts w:ascii="Arial" w:hAnsi="Arial" w:cs="Arial"/>
          <w:i/>
        </w:rPr>
      </w:pPr>
    </w:p>
    <w:p w14:paraId="6DF34C33" w14:textId="1D127B86" w:rsidR="004B4300" w:rsidRDefault="004B4300" w:rsidP="00173372">
      <w:pPr>
        <w:contextualSpacing/>
        <w:rPr>
          <w:rFonts w:ascii="Arial" w:hAnsi="Arial" w:cs="Arial"/>
          <w:b/>
        </w:rPr>
      </w:pPr>
      <w:r>
        <w:rPr>
          <w:rFonts w:ascii="Arial" w:hAnsi="Arial" w:cs="Arial"/>
          <w:b/>
        </w:rPr>
        <w:t>Pay claim</w:t>
      </w:r>
    </w:p>
    <w:p w14:paraId="371DB93C" w14:textId="77777777" w:rsidR="004B4300" w:rsidRDefault="004B4300" w:rsidP="00173372">
      <w:pPr>
        <w:contextualSpacing/>
        <w:rPr>
          <w:rFonts w:ascii="Arial" w:hAnsi="Arial" w:cs="Arial"/>
          <w:b/>
        </w:rPr>
      </w:pPr>
    </w:p>
    <w:p w14:paraId="6D79DBB4" w14:textId="77777777" w:rsidR="004B4300" w:rsidRDefault="004B4300" w:rsidP="00173372">
      <w:pPr>
        <w:pStyle w:val="ListParagraph"/>
        <w:numPr>
          <w:ilvl w:val="0"/>
          <w:numId w:val="7"/>
        </w:numPr>
        <w:rPr>
          <w:rFonts w:ascii="Arial" w:hAnsi="Arial" w:cs="Arial"/>
        </w:rPr>
      </w:pPr>
      <w:r w:rsidRPr="006265B3">
        <w:rPr>
          <w:rFonts w:ascii="Arial" w:hAnsi="Arial" w:cs="Arial"/>
        </w:rPr>
        <w:t xml:space="preserve">A formal pay claim was received from the Employees’ </w:t>
      </w:r>
      <w:r>
        <w:rPr>
          <w:rFonts w:ascii="Arial" w:hAnsi="Arial" w:cs="Arial"/>
        </w:rPr>
        <w:t>S</w:t>
      </w:r>
      <w:r w:rsidRPr="006265B3">
        <w:rPr>
          <w:rFonts w:ascii="Arial" w:hAnsi="Arial" w:cs="Arial"/>
        </w:rPr>
        <w:t xml:space="preserve">ide of the NJC for </w:t>
      </w:r>
      <w:r w:rsidRPr="00173372">
        <w:rPr>
          <w:rFonts w:ascii="Arial" w:hAnsi="Arial" w:cs="Arial"/>
        </w:rPr>
        <w:t>LAFRS</w:t>
      </w:r>
      <w:r w:rsidRPr="006265B3">
        <w:rPr>
          <w:rFonts w:ascii="Arial" w:hAnsi="Arial" w:cs="Arial"/>
        </w:rPr>
        <w:t xml:space="preserve"> just prior to its meeting on 1 June. </w:t>
      </w:r>
      <w:hyperlink r:id="rId18" w:history="1">
        <w:r w:rsidRPr="006265B3">
          <w:rPr>
            <w:rStyle w:val="Hyperlink"/>
            <w:rFonts w:ascii="Arial" w:hAnsi="Arial" w:cs="Arial"/>
          </w:rPr>
          <w:t>NJC/7/17</w:t>
        </w:r>
      </w:hyperlink>
      <w:r w:rsidRPr="006265B3">
        <w:rPr>
          <w:rFonts w:ascii="Arial" w:hAnsi="Arial" w:cs="Arial"/>
        </w:rPr>
        <w:t xml:space="preserve"> includes the letter. In essence the claim is:</w:t>
      </w:r>
    </w:p>
    <w:p w14:paraId="2BA03807" w14:textId="77777777" w:rsidR="004B4300" w:rsidRDefault="004B4300" w:rsidP="00173372">
      <w:pPr>
        <w:pStyle w:val="ListParagraph"/>
        <w:ind w:left="360"/>
        <w:rPr>
          <w:rFonts w:ascii="Arial" w:hAnsi="Arial" w:cs="Arial"/>
        </w:rPr>
      </w:pPr>
    </w:p>
    <w:p w14:paraId="0A5811E2" w14:textId="1E5E7F85" w:rsidR="004B4300" w:rsidRDefault="004B4300" w:rsidP="00173372">
      <w:pPr>
        <w:pStyle w:val="ListParagraph"/>
        <w:numPr>
          <w:ilvl w:val="1"/>
          <w:numId w:val="7"/>
        </w:numPr>
        <w:ind w:hanging="508"/>
        <w:rPr>
          <w:rFonts w:ascii="Arial" w:hAnsi="Arial" w:cs="Arial"/>
        </w:rPr>
      </w:pPr>
      <w:r>
        <w:rPr>
          <w:rFonts w:ascii="Arial" w:hAnsi="Arial" w:cs="Arial"/>
        </w:rPr>
        <w:t>NJC pay scales need to address the loss of real earnings since the imposition of the pay cap/freeze in 2010.</w:t>
      </w:r>
    </w:p>
    <w:p w14:paraId="4FEBF8BB" w14:textId="77777777" w:rsidR="004B4300" w:rsidRDefault="004B4300" w:rsidP="00173372">
      <w:pPr>
        <w:pStyle w:val="ListParagraph"/>
        <w:ind w:left="792"/>
        <w:rPr>
          <w:rFonts w:ascii="Arial" w:hAnsi="Arial" w:cs="Arial"/>
        </w:rPr>
      </w:pPr>
    </w:p>
    <w:p w14:paraId="10D389EA" w14:textId="2E7E07C7" w:rsidR="004B4300" w:rsidRDefault="004B4300" w:rsidP="00173372">
      <w:pPr>
        <w:pStyle w:val="ListParagraph"/>
        <w:numPr>
          <w:ilvl w:val="1"/>
          <w:numId w:val="7"/>
        </w:numPr>
        <w:ind w:hanging="508"/>
        <w:rPr>
          <w:rFonts w:ascii="Arial" w:hAnsi="Arial" w:cs="Arial"/>
        </w:rPr>
      </w:pPr>
      <w:r>
        <w:rPr>
          <w:rFonts w:ascii="Arial" w:hAnsi="Arial" w:cs="Arial"/>
        </w:rPr>
        <w:t>NJC pay scales need to take account of the additional work undertaken by employees since 2003.</w:t>
      </w:r>
    </w:p>
    <w:p w14:paraId="2AB20A95" w14:textId="77777777" w:rsidR="004B4300" w:rsidRPr="004B4300" w:rsidRDefault="004B4300" w:rsidP="00173372">
      <w:pPr>
        <w:rPr>
          <w:rFonts w:ascii="Arial" w:hAnsi="Arial" w:cs="Arial"/>
        </w:rPr>
      </w:pPr>
    </w:p>
    <w:p w14:paraId="2A4EDCEC" w14:textId="0C983647" w:rsidR="004B4300" w:rsidRDefault="004B4300" w:rsidP="00173372">
      <w:pPr>
        <w:pStyle w:val="ListParagraph"/>
        <w:numPr>
          <w:ilvl w:val="1"/>
          <w:numId w:val="7"/>
        </w:numPr>
        <w:ind w:hanging="508"/>
        <w:rPr>
          <w:rFonts w:ascii="Arial" w:hAnsi="Arial" w:cs="Arial"/>
        </w:rPr>
      </w:pPr>
      <w:r>
        <w:rPr>
          <w:rFonts w:ascii="Arial" w:hAnsi="Arial" w:cs="Arial"/>
        </w:rPr>
        <w:t>NJC pay scales need to address any broadening of the role maps or broadening of the work required of FBU members by their employer, which may include emerging potential new areas of work such as E</w:t>
      </w:r>
      <w:r w:rsidR="002D76FC">
        <w:rPr>
          <w:rFonts w:ascii="Arial" w:hAnsi="Arial" w:cs="Arial"/>
        </w:rPr>
        <w:t xml:space="preserve">mergency </w:t>
      </w:r>
      <w:r>
        <w:rPr>
          <w:rFonts w:ascii="Arial" w:hAnsi="Arial" w:cs="Arial"/>
        </w:rPr>
        <w:t>M</w:t>
      </w:r>
      <w:r w:rsidR="002D76FC">
        <w:rPr>
          <w:rFonts w:ascii="Arial" w:hAnsi="Arial" w:cs="Arial"/>
        </w:rPr>
        <w:t xml:space="preserve">edical </w:t>
      </w:r>
      <w:r>
        <w:rPr>
          <w:rFonts w:ascii="Arial" w:hAnsi="Arial" w:cs="Arial"/>
        </w:rPr>
        <w:t>R</w:t>
      </w:r>
      <w:r w:rsidR="002D76FC">
        <w:rPr>
          <w:rFonts w:ascii="Arial" w:hAnsi="Arial" w:cs="Arial"/>
        </w:rPr>
        <w:t>esponding (EMR)</w:t>
      </w:r>
      <w:r>
        <w:rPr>
          <w:rFonts w:ascii="Arial" w:hAnsi="Arial" w:cs="Arial"/>
        </w:rPr>
        <w:t xml:space="preserve"> and M</w:t>
      </w:r>
      <w:r w:rsidR="002D76FC">
        <w:rPr>
          <w:rFonts w:ascii="Arial" w:hAnsi="Arial" w:cs="Arial"/>
        </w:rPr>
        <w:t xml:space="preserve">arauding </w:t>
      </w:r>
      <w:r>
        <w:rPr>
          <w:rFonts w:ascii="Arial" w:hAnsi="Arial" w:cs="Arial"/>
        </w:rPr>
        <w:t>T</w:t>
      </w:r>
      <w:r w:rsidR="002D76FC">
        <w:rPr>
          <w:rFonts w:ascii="Arial" w:hAnsi="Arial" w:cs="Arial"/>
        </w:rPr>
        <w:t xml:space="preserve">errorist </w:t>
      </w:r>
      <w:r>
        <w:rPr>
          <w:rFonts w:ascii="Arial" w:hAnsi="Arial" w:cs="Arial"/>
        </w:rPr>
        <w:t>F</w:t>
      </w:r>
      <w:r w:rsidR="002D76FC">
        <w:rPr>
          <w:rFonts w:ascii="Arial" w:hAnsi="Arial" w:cs="Arial"/>
        </w:rPr>
        <w:t xml:space="preserve">irearms </w:t>
      </w:r>
      <w:r>
        <w:rPr>
          <w:rFonts w:ascii="Arial" w:hAnsi="Arial" w:cs="Arial"/>
        </w:rPr>
        <w:t>A</w:t>
      </w:r>
      <w:r w:rsidR="002D76FC">
        <w:rPr>
          <w:rFonts w:ascii="Arial" w:hAnsi="Arial" w:cs="Arial"/>
        </w:rPr>
        <w:t>ttack (MTFA)</w:t>
      </w:r>
      <w:r>
        <w:rPr>
          <w:rFonts w:ascii="Arial" w:hAnsi="Arial" w:cs="Arial"/>
        </w:rPr>
        <w:t xml:space="preserve">. </w:t>
      </w:r>
    </w:p>
    <w:p w14:paraId="5C88B135" w14:textId="77777777" w:rsidR="004B4300" w:rsidRPr="004B4300" w:rsidRDefault="004B4300" w:rsidP="00173372">
      <w:pPr>
        <w:rPr>
          <w:rFonts w:ascii="Arial" w:hAnsi="Arial" w:cs="Arial"/>
        </w:rPr>
      </w:pPr>
    </w:p>
    <w:p w14:paraId="33FD200E" w14:textId="3E6760D0" w:rsidR="004B4300" w:rsidRDefault="004B4300" w:rsidP="00173372">
      <w:pPr>
        <w:pStyle w:val="ListParagraph"/>
        <w:numPr>
          <w:ilvl w:val="1"/>
          <w:numId w:val="7"/>
        </w:numPr>
        <w:ind w:hanging="508"/>
        <w:rPr>
          <w:rFonts w:ascii="Arial" w:hAnsi="Arial" w:cs="Arial"/>
        </w:rPr>
      </w:pPr>
      <w:r>
        <w:rPr>
          <w:rFonts w:ascii="Arial" w:hAnsi="Arial" w:cs="Arial"/>
        </w:rPr>
        <w:t>There is an urgent need to improve reward mechanisms for retained firefighters, including an increase in the retaining fee.</w:t>
      </w:r>
    </w:p>
    <w:p w14:paraId="719094F2" w14:textId="77777777" w:rsidR="004B4300" w:rsidRPr="004B4300" w:rsidRDefault="004B4300" w:rsidP="00173372">
      <w:pPr>
        <w:rPr>
          <w:rFonts w:ascii="Arial" w:hAnsi="Arial" w:cs="Arial"/>
        </w:rPr>
      </w:pPr>
    </w:p>
    <w:p w14:paraId="38FF8A3F" w14:textId="3FDF86F2" w:rsidR="004B4300" w:rsidRDefault="004B4300" w:rsidP="00173372">
      <w:pPr>
        <w:pStyle w:val="ListParagraph"/>
        <w:numPr>
          <w:ilvl w:val="1"/>
          <w:numId w:val="7"/>
        </w:numPr>
        <w:ind w:hanging="508"/>
        <w:rPr>
          <w:rFonts w:ascii="Arial" w:hAnsi="Arial" w:cs="Arial"/>
        </w:rPr>
      </w:pPr>
      <w:r>
        <w:rPr>
          <w:rFonts w:ascii="Arial" w:hAnsi="Arial" w:cs="Arial"/>
        </w:rPr>
        <w:t xml:space="preserve">In order to ensure that NJC rates of pay do not fall behind in real and/or relative terms in the future and to provide stability in the sector alongside security for Grey Book personnel, there should be a pay formula. </w:t>
      </w:r>
    </w:p>
    <w:p w14:paraId="3C923444" w14:textId="77777777" w:rsidR="004B4300" w:rsidRDefault="004B4300" w:rsidP="00173372">
      <w:pPr>
        <w:pStyle w:val="ListParagraph"/>
        <w:ind w:left="792"/>
        <w:rPr>
          <w:rFonts w:ascii="Arial" w:hAnsi="Arial" w:cs="Arial"/>
        </w:rPr>
      </w:pPr>
    </w:p>
    <w:p w14:paraId="16C82C7A" w14:textId="5A183489" w:rsidR="002664B3" w:rsidRPr="00F61FB5" w:rsidRDefault="002664B3" w:rsidP="002664B3">
      <w:pPr>
        <w:pStyle w:val="ListParagraph"/>
        <w:numPr>
          <w:ilvl w:val="0"/>
          <w:numId w:val="7"/>
        </w:numPr>
        <w:spacing w:after="200" w:line="260" w:lineRule="exact"/>
        <w:contextualSpacing/>
        <w:rPr>
          <w:rFonts w:ascii="Arial" w:hAnsi="Arial" w:cs="Arial"/>
          <w:b/>
        </w:rPr>
      </w:pPr>
      <w:r>
        <w:rPr>
          <w:rFonts w:ascii="Arial" w:hAnsi="Arial" w:cs="Arial"/>
        </w:rPr>
        <w:t xml:space="preserve">The Employers’ Side of the NJC (National Employers) invited UK Chairs and CFOs to attend one of three consultation meetings between 13 and 19 June (Birmingham, Manchester and London). The sessions were very well attended with only two fire and rescue authorities not represented. Following the consultation meetings members resumed consideration of the claim. </w:t>
      </w:r>
    </w:p>
    <w:p w14:paraId="6E80684D" w14:textId="77777777" w:rsidR="00F61FB5" w:rsidRPr="00F61FB5" w:rsidRDefault="00F61FB5" w:rsidP="00F61FB5">
      <w:pPr>
        <w:pStyle w:val="ListParagraph"/>
        <w:spacing w:after="200" w:line="260" w:lineRule="exact"/>
        <w:ind w:left="360"/>
        <w:contextualSpacing/>
        <w:rPr>
          <w:rFonts w:ascii="Arial" w:hAnsi="Arial" w:cs="Arial"/>
          <w:b/>
        </w:rPr>
      </w:pPr>
    </w:p>
    <w:p w14:paraId="4F2E37CD" w14:textId="4CBB6811" w:rsidR="00F61FB5" w:rsidRPr="00F61FB5" w:rsidRDefault="00F61FB5" w:rsidP="00F61FB5">
      <w:pPr>
        <w:pStyle w:val="ListParagraph"/>
        <w:numPr>
          <w:ilvl w:val="0"/>
          <w:numId w:val="7"/>
        </w:numPr>
        <w:spacing w:after="200" w:line="260" w:lineRule="exact"/>
        <w:contextualSpacing/>
        <w:rPr>
          <w:rFonts w:ascii="Arial" w:hAnsi="Arial" w:cs="Arial"/>
          <w:b/>
        </w:rPr>
      </w:pPr>
      <w:r>
        <w:rPr>
          <w:rFonts w:ascii="Arial" w:hAnsi="Arial" w:cs="Arial"/>
        </w:rPr>
        <w:t xml:space="preserve">The response to the claim, setting out the employers’ offer, is contained in circular </w:t>
      </w:r>
      <w:hyperlink r:id="rId19" w:history="1">
        <w:r w:rsidRPr="00F61FB5">
          <w:rPr>
            <w:rStyle w:val="Hyperlink"/>
            <w:rFonts w:ascii="Arial" w:hAnsi="Arial" w:cs="Arial"/>
          </w:rPr>
          <w:t>EMP/5/17</w:t>
        </w:r>
      </w:hyperlink>
      <w:bookmarkStart w:id="3" w:name="_GoBack"/>
      <w:bookmarkEnd w:id="3"/>
      <w:r>
        <w:rPr>
          <w:rFonts w:ascii="Arial" w:hAnsi="Arial" w:cs="Arial"/>
        </w:rPr>
        <w:t xml:space="preserve">. </w:t>
      </w:r>
    </w:p>
    <w:p w14:paraId="1E71EAD9" w14:textId="77777777" w:rsidR="00F61FB5" w:rsidRPr="00F61FB5" w:rsidRDefault="00F61FB5" w:rsidP="00F61FB5">
      <w:pPr>
        <w:pStyle w:val="ListParagraph"/>
        <w:rPr>
          <w:rFonts w:ascii="Arial" w:hAnsi="Arial" w:cs="Arial"/>
          <w:b/>
        </w:rPr>
      </w:pPr>
    </w:p>
    <w:p w14:paraId="3DCCA437" w14:textId="5D04A27D" w:rsidR="00F61FB5" w:rsidRPr="004D7455" w:rsidRDefault="00F61FB5" w:rsidP="002664B3">
      <w:pPr>
        <w:pStyle w:val="ListParagraph"/>
        <w:numPr>
          <w:ilvl w:val="0"/>
          <w:numId w:val="7"/>
        </w:numPr>
        <w:spacing w:after="200" w:line="260" w:lineRule="exact"/>
        <w:contextualSpacing/>
        <w:rPr>
          <w:rFonts w:ascii="Arial" w:hAnsi="Arial" w:cs="Arial"/>
          <w:b/>
        </w:rPr>
      </w:pPr>
      <w:r>
        <w:rPr>
          <w:rFonts w:ascii="Arial" w:hAnsi="Arial" w:cs="Arial"/>
        </w:rPr>
        <w:t xml:space="preserve">The Fire Brigades Union has advised that it will now consult its members, albeit in the context that its Executive Council feels in its current form ‘it is not acceptable’. A copy of the communication to its members can be found </w:t>
      </w:r>
      <w:hyperlink r:id="rId20" w:history="1">
        <w:r w:rsidRPr="00F61FB5">
          <w:rPr>
            <w:rStyle w:val="Hyperlink"/>
            <w:rFonts w:ascii="Arial" w:hAnsi="Arial" w:cs="Arial"/>
          </w:rPr>
          <w:t>here</w:t>
        </w:r>
      </w:hyperlink>
      <w:r>
        <w:rPr>
          <w:rFonts w:ascii="Arial" w:hAnsi="Arial" w:cs="Arial"/>
        </w:rPr>
        <w:t>. The National Employers will now consider this response.</w:t>
      </w:r>
    </w:p>
    <w:p w14:paraId="273A5F48" w14:textId="6960EF49" w:rsidR="004B4300" w:rsidRPr="004D7455" w:rsidRDefault="004B4300" w:rsidP="004D7455">
      <w:pPr>
        <w:spacing w:after="200" w:line="260" w:lineRule="exact"/>
        <w:contextualSpacing/>
        <w:rPr>
          <w:rFonts w:ascii="Arial" w:hAnsi="Arial" w:cs="Arial"/>
          <w:b/>
        </w:rPr>
      </w:pPr>
      <w:r w:rsidRPr="002664B3">
        <w:rPr>
          <w:rFonts w:ascii="Arial" w:hAnsi="Arial" w:cs="Arial"/>
          <w:b/>
        </w:rPr>
        <w:t>Inclusive Fire Service Group</w:t>
      </w:r>
    </w:p>
    <w:p w14:paraId="056606B5" w14:textId="102FB94F" w:rsidR="004B4300" w:rsidRDefault="004B4300" w:rsidP="00173372">
      <w:pPr>
        <w:pStyle w:val="ListParagraph"/>
        <w:numPr>
          <w:ilvl w:val="0"/>
          <w:numId w:val="7"/>
        </w:numPr>
        <w:spacing w:after="200" w:line="260" w:lineRule="exact"/>
        <w:contextualSpacing/>
        <w:rPr>
          <w:rFonts w:ascii="Arial" w:hAnsi="Arial" w:cs="Arial"/>
        </w:rPr>
      </w:pPr>
      <w:r w:rsidRPr="006265B3">
        <w:rPr>
          <w:rFonts w:ascii="Arial" w:hAnsi="Arial" w:cs="Arial"/>
        </w:rPr>
        <w:t xml:space="preserve">This NJC-led group has now identified improvement strategies for use at local level in areas relating to the recruitment, progression and retention of female, BME and LGBT employees as well cultural issues such as bullying and harassment in general. Circular </w:t>
      </w:r>
      <w:hyperlink r:id="rId21" w:history="1">
        <w:r w:rsidRPr="006265B3">
          <w:rPr>
            <w:rStyle w:val="Hyperlink"/>
            <w:rFonts w:ascii="Arial" w:hAnsi="Arial" w:cs="Arial"/>
          </w:rPr>
          <w:t>NJC/8/17</w:t>
        </w:r>
      </w:hyperlink>
      <w:r>
        <w:rPr>
          <w:rFonts w:ascii="Arial" w:hAnsi="Arial" w:cs="Arial"/>
        </w:rPr>
        <w:t xml:space="preserve">, which also includes the outcomes of the employee survey, </w:t>
      </w:r>
      <w:r w:rsidRPr="006265B3">
        <w:rPr>
          <w:rFonts w:ascii="Arial" w:hAnsi="Arial" w:cs="Arial"/>
        </w:rPr>
        <w:t xml:space="preserve">asks each FRA/service to consider the strategies in detail and to advise the group of its response including the areas it intends to take forward, the timescale within which it expects to do so, the improvement it expects will result (and by when), and who will take the lead from </w:t>
      </w:r>
      <w:r w:rsidRPr="006265B3">
        <w:rPr>
          <w:rFonts w:ascii="Arial" w:hAnsi="Arial" w:cs="Arial"/>
        </w:rPr>
        <w:lastRenderedPageBreak/>
        <w:t>both a member and senior officer perspective (the assumption being that will be the chief fire officer).</w:t>
      </w:r>
      <w:r w:rsidR="002664B3">
        <w:rPr>
          <w:rFonts w:ascii="Arial" w:hAnsi="Arial" w:cs="Arial"/>
        </w:rPr>
        <w:t xml:space="preserve"> Your support of this work will be very important.</w:t>
      </w:r>
    </w:p>
    <w:p w14:paraId="5BB5C997" w14:textId="77777777" w:rsidR="000D312E" w:rsidRDefault="000D312E" w:rsidP="000D312E">
      <w:pPr>
        <w:pStyle w:val="ListParagraph"/>
        <w:spacing w:after="200" w:line="260" w:lineRule="exact"/>
        <w:ind w:left="360"/>
        <w:contextualSpacing/>
        <w:rPr>
          <w:rFonts w:ascii="Arial" w:hAnsi="Arial" w:cs="Arial"/>
        </w:rPr>
      </w:pPr>
    </w:p>
    <w:p w14:paraId="1D28ED7E" w14:textId="60F3FFAC" w:rsidR="00173372" w:rsidRPr="000D312E" w:rsidRDefault="002664B3" w:rsidP="002001B3">
      <w:pPr>
        <w:pStyle w:val="ListParagraph"/>
        <w:numPr>
          <w:ilvl w:val="0"/>
          <w:numId w:val="7"/>
        </w:numPr>
        <w:spacing w:after="200"/>
        <w:contextualSpacing/>
        <w:rPr>
          <w:rFonts w:ascii="Arial" w:hAnsi="Arial" w:cs="Arial"/>
        </w:rPr>
      </w:pPr>
      <w:r>
        <w:rPr>
          <w:rFonts w:ascii="Arial" w:hAnsi="Arial" w:cs="Arial"/>
        </w:rPr>
        <w:t>Many parties involved in the work undertaken by the group in preparing the improvement strategies indicated that they felt a public awareness campaign highlighting the range of work undertaken by the fire service (similar to that being developed by others with the Home Office in respect of retained firefighters) would be very useful in terms of diversity</w:t>
      </w:r>
      <w:r w:rsidR="000D312E">
        <w:rPr>
          <w:rFonts w:ascii="Arial" w:hAnsi="Arial" w:cs="Arial"/>
        </w:rPr>
        <w:t xml:space="preserve"> and recruitment in general. From an employers’ perspective an approach was made to the Home Office suggesting a meeting including other interested parties such as LGA, NFCC and those working on the retained campaign would be useful in taking this forward. That meeting took place recently and the Home Office will now consider its position. </w:t>
      </w:r>
    </w:p>
    <w:p w14:paraId="361BEE0D" w14:textId="77777777" w:rsidR="004B4300" w:rsidRPr="004B4300" w:rsidRDefault="004B4300"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b/>
          <w:lang w:val="en-US"/>
        </w:rPr>
      </w:pPr>
      <w:r w:rsidRPr="004B4300">
        <w:rPr>
          <w:rFonts w:ascii="Arial" w:hAnsi="Arial" w:cs="Arial"/>
          <w:b/>
          <w:lang w:val="en-US"/>
        </w:rPr>
        <w:t>Employment Tribunal cases - pension scheme transitional protection arrangements</w:t>
      </w:r>
    </w:p>
    <w:p w14:paraId="442A18DB" w14:textId="345DF8D6" w:rsidR="00173372" w:rsidRPr="00173372" w:rsidRDefault="000D312E" w:rsidP="002001B3">
      <w:pPr>
        <w:pStyle w:val="ListParagraph"/>
        <w:widowControl w:val="0"/>
        <w:numPr>
          <w:ilvl w:val="0"/>
          <w:numId w:val="7"/>
        </w:numPr>
        <w:overflowPunct w:val="0"/>
        <w:autoSpaceDE w:val="0"/>
        <w:autoSpaceDN w:val="0"/>
        <w:adjustRightInd w:val="0"/>
        <w:spacing w:after="240"/>
        <w:textAlignment w:val="baseline"/>
        <w:rPr>
          <w:rFonts w:ascii="Arial" w:hAnsi="Arial" w:cs="Arial"/>
          <w:color w:val="000000"/>
        </w:rPr>
      </w:pPr>
      <w:r>
        <w:rPr>
          <w:rFonts w:ascii="Arial" w:hAnsi="Arial" w:cs="Arial"/>
          <w:lang w:val="en-US"/>
        </w:rPr>
        <w:t xml:space="preserve">The Employment Tribunal found in favour of fire authorities. The FBU, who act on behalf of the claimants, lodged an appeal. The Employment Appeal Tribunal </w:t>
      </w:r>
      <w:r w:rsidR="004D7455">
        <w:rPr>
          <w:rFonts w:ascii="Arial" w:hAnsi="Arial" w:cs="Arial"/>
          <w:lang w:val="en-US"/>
        </w:rPr>
        <w:t xml:space="preserve">(EAT) </w:t>
      </w:r>
      <w:r>
        <w:rPr>
          <w:rFonts w:ascii="Arial" w:hAnsi="Arial" w:cs="Arial"/>
          <w:lang w:val="en-US"/>
        </w:rPr>
        <w:t>has decided to join the appeal with that in the McCloud case relating to judges (which found in favour of the judges). Whilst recognizing it is a decision for the EAT and it has made its decision clear, the Steering Group asked legal representatives to express our reservations from a fire authority perspective.</w:t>
      </w:r>
    </w:p>
    <w:p w14:paraId="410025D8" w14:textId="77777777" w:rsidR="004B4300" w:rsidRPr="006265B3" w:rsidRDefault="004B4300" w:rsidP="00173372">
      <w:pPr>
        <w:pStyle w:val="ListParagraph"/>
        <w:spacing w:before="240"/>
        <w:ind w:left="567" w:hanging="567"/>
        <w:rPr>
          <w:rFonts w:ascii="Arial" w:hAnsi="Arial" w:cs="Arial"/>
          <w:i/>
        </w:rPr>
      </w:pPr>
      <w:r w:rsidRPr="004B4300">
        <w:rPr>
          <w:rFonts w:ascii="Arial" w:hAnsi="Arial" w:cs="Arial"/>
          <w:b/>
        </w:rPr>
        <w:t>Apprenticeships</w:t>
      </w:r>
    </w:p>
    <w:p w14:paraId="3DB8AE67" w14:textId="77777777" w:rsidR="004B4300" w:rsidRPr="006265B3" w:rsidRDefault="004B4300" w:rsidP="00173372">
      <w:pPr>
        <w:pStyle w:val="ListParagraph"/>
        <w:ind w:left="567" w:hanging="567"/>
        <w:rPr>
          <w:rFonts w:ascii="Arial" w:hAnsi="Arial" w:cs="Arial"/>
        </w:rPr>
      </w:pPr>
    </w:p>
    <w:p w14:paraId="71078493" w14:textId="200C3ECD" w:rsidR="004B4300" w:rsidRPr="006265B3" w:rsidRDefault="004B4300" w:rsidP="00173372">
      <w:pPr>
        <w:pStyle w:val="ListParagraph"/>
        <w:numPr>
          <w:ilvl w:val="0"/>
          <w:numId w:val="7"/>
        </w:numPr>
        <w:rPr>
          <w:rFonts w:ascii="Arial" w:hAnsi="Arial" w:cs="Arial"/>
        </w:rPr>
      </w:pPr>
      <w:r w:rsidRPr="006265B3">
        <w:rPr>
          <w:rFonts w:ascii="Arial" w:hAnsi="Arial" w:cs="Arial"/>
        </w:rPr>
        <w:t>Following an approach from County Durham and Darlington FRS</w:t>
      </w:r>
      <w:r w:rsidR="002D76FC">
        <w:rPr>
          <w:rFonts w:ascii="Arial" w:hAnsi="Arial" w:cs="Arial"/>
        </w:rPr>
        <w:t xml:space="preserve"> (CDDFRS)</w:t>
      </w:r>
      <w:r w:rsidR="006440C1">
        <w:rPr>
          <w:rFonts w:ascii="Arial" w:hAnsi="Arial" w:cs="Arial"/>
        </w:rPr>
        <w:t>,</w:t>
      </w:r>
      <w:r w:rsidRPr="006265B3">
        <w:rPr>
          <w:rFonts w:ascii="Arial" w:hAnsi="Arial" w:cs="Arial"/>
        </w:rPr>
        <w:t xml:space="preserve"> the NJC decided in February to work in partnership with the service both in terms of a level of external input as part of its own evaluation and in sharing information on the scheme more widely with other FRSs in respect of its Business Fire Safety Apprenticeship scheme, which will lead to firefighter posts within the service. </w:t>
      </w:r>
    </w:p>
    <w:p w14:paraId="4875EF77" w14:textId="77777777" w:rsidR="004B4300" w:rsidRPr="006265B3" w:rsidRDefault="004B4300" w:rsidP="00173372">
      <w:pPr>
        <w:pStyle w:val="ListParagraph"/>
        <w:ind w:left="567"/>
        <w:rPr>
          <w:rFonts w:ascii="Arial" w:hAnsi="Arial" w:cs="Arial"/>
        </w:rPr>
      </w:pPr>
    </w:p>
    <w:p w14:paraId="6F709001" w14:textId="77777777" w:rsidR="004B4300" w:rsidRPr="006265B3" w:rsidRDefault="004B4300" w:rsidP="00173372">
      <w:pPr>
        <w:pStyle w:val="ListParagraph"/>
        <w:numPr>
          <w:ilvl w:val="0"/>
          <w:numId w:val="7"/>
        </w:numPr>
        <w:rPr>
          <w:rFonts w:ascii="Arial" w:hAnsi="Arial" w:cs="Arial"/>
        </w:rPr>
      </w:pPr>
      <w:r w:rsidRPr="006265B3">
        <w:rPr>
          <w:rFonts w:ascii="Arial" w:hAnsi="Arial" w:cs="Arial"/>
        </w:rPr>
        <w:t xml:space="preserve">As part of the above partnership an event was run for all FRSs in April providing them with information on this particular scheme and an opportunity to explore the detail with people from CDDFRS. It was a unique opportunity for members, officers and union representatives to explore the issues together. </w:t>
      </w:r>
    </w:p>
    <w:p w14:paraId="4C516628" w14:textId="77777777" w:rsidR="004B4300" w:rsidRDefault="004B4300" w:rsidP="00173372">
      <w:pPr>
        <w:widowControl w:val="0"/>
        <w:overflowPunct w:val="0"/>
        <w:autoSpaceDE w:val="0"/>
        <w:autoSpaceDN w:val="0"/>
        <w:adjustRightInd w:val="0"/>
        <w:spacing w:after="200" w:line="276" w:lineRule="auto"/>
        <w:ind w:left="567" w:hanging="567"/>
        <w:contextualSpacing/>
        <w:textAlignment w:val="baseline"/>
        <w:rPr>
          <w:rFonts w:ascii="Arial" w:hAnsi="Arial" w:cs="Arial"/>
          <w:i/>
          <w:color w:val="000000"/>
        </w:rPr>
      </w:pPr>
    </w:p>
    <w:p w14:paraId="57A0BFCF" w14:textId="63053851" w:rsidR="004B4300" w:rsidRPr="004B4300" w:rsidRDefault="004B4300" w:rsidP="00173372">
      <w:pPr>
        <w:pStyle w:val="ListParagraph"/>
        <w:ind w:left="360"/>
        <w:rPr>
          <w:rFonts w:ascii="Arial" w:hAnsi="Arial" w:cs="Arial"/>
          <w:lang w:val="en-US"/>
        </w:rPr>
      </w:pPr>
    </w:p>
    <w:sectPr w:rsidR="004B4300" w:rsidRPr="004B4300" w:rsidSect="00C9570B">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096B17" w:rsidRDefault="00096B17">
      <w:r>
        <w:separator/>
      </w:r>
    </w:p>
  </w:endnote>
  <w:endnote w:type="continuationSeparator" w:id="0">
    <w:p w14:paraId="3E8322B5" w14:textId="77777777" w:rsidR="00096B17" w:rsidRDefault="0009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096B17" w:rsidRDefault="00096B17">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096B17" w:rsidRDefault="00096B17">
      <w:r>
        <w:separator/>
      </w:r>
    </w:p>
  </w:footnote>
  <w:footnote w:type="continuationSeparator" w:id="0">
    <w:p w14:paraId="3E8322B3" w14:textId="77777777" w:rsidR="00096B17" w:rsidRDefault="0009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096B17" w:rsidRPr="004F266E" w14:paraId="3E8322B8" w14:textId="77777777" w:rsidTr="005E5985">
      <w:tc>
        <w:tcPr>
          <w:tcW w:w="5920" w:type="dxa"/>
          <w:vMerge w:val="restart"/>
          <w:shd w:val="clear" w:color="auto" w:fill="auto"/>
        </w:tcPr>
        <w:p w14:paraId="3E8322B6" w14:textId="77777777" w:rsidR="00096B17" w:rsidRPr="00374227" w:rsidRDefault="00096B17" w:rsidP="005E5985">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366BCB5D" w:rsidR="00096B17" w:rsidRPr="00E7702B" w:rsidRDefault="00096B17" w:rsidP="0096516C">
          <w:pPr>
            <w:pStyle w:val="Header"/>
            <w:rPr>
              <w:rFonts w:ascii="Arial" w:hAnsi="Arial" w:cs="Arial"/>
              <w:b/>
              <w:i/>
              <w:szCs w:val="22"/>
            </w:rPr>
          </w:pPr>
          <w:r>
            <w:rPr>
              <w:rFonts w:ascii="Arial" w:hAnsi="Arial" w:cs="Arial"/>
              <w:b/>
              <w:szCs w:val="22"/>
            </w:rPr>
            <w:t xml:space="preserve">Fire Commission </w:t>
          </w:r>
        </w:p>
      </w:tc>
    </w:tr>
    <w:tr w:rsidR="00096B17" w14:paraId="3E8322BB" w14:textId="77777777" w:rsidTr="005E5985">
      <w:trPr>
        <w:trHeight w:val="450"/>
      </w:trPr>
      <w:tc>
        <w:tcPr>
          <w:tcW w:w="5920" w:type="dxa"/>
          <w:vMerge/>
          <w:shd w:val="clear" w:color="auto" w:fill="auto"/>
        </w:tcPr>
        <w:p w14:paraId="3E8322B9" w14:textId="77777777" w:rsidR="00096B17" w:rsidRPr="00374227" w:rsidRDefault="00096B17" w:rsidP="005E5985">
          <w:pPr>
            <w:pStyle w:val="Header"/>
          </w:pPr>
        </w:p>
      </w:tc>
      <w:tc>
        <w:tcPr>
          <w:tcW w:w="3260" w:type="dxa"/>
          <w:shd w:val="clear" w:color="auto" w:fill="auto"/>
          <w:vAlign w:val="center"/>
        </w:tcPr>
        <w:p w14:paraId="3E8322BA" w14:textId="5CFEA442" w:rsidR="00096B17" w:rsidRPr="00374227" w:rsidRDefault="00096B17" w:rsidP="0096516C">
          <w:pPr>
            <w:pStyle w:val="Header"/>
            <w:spacing w:before="60"/>
            <w:rPr>
              <w:rFonts w:ascii="Arial" w:hAnsi="Arial" w:cs="Arial"/>
              <w:szCs w:val="22"/>
            </w:rPr>
          </w:pPr>
          <w:r>
            <w:rPr>
              <w:rFonts w:ascii="Arial" w:hAnsi="Arial" w:cs="Arial"/>
              <w:szCs w:val="22"/>
            </w:rPr>
            <w:t xml:space="preserve">10 July 2017 </w:t>
          </w:r>
        </w:p>
      </w:tc>
    </w:tr>
    <w:tr w:rsidR="00096B17" w:rsidRPr="004F266E" w14:paraId="3E8322BE" w14:textId="77777777" w:rsidTr="005E5985">
      <w:trPr>
        <w:trHeight w:val="708"/>
      </w:trPr>
      <w:tc>
        <w:tcPr>
          <w:tcW w:w="5920" w:type="dxa"/>
          <w:vMerge/>
          <w:shd w:val="clear" w:color="auto" w:fill="auto"/>
        </w:tcPr>
        <w:p w14:paraId="3E8322BC" w14:textId="77777777" w:rsidR="00096B17" w:rsidRPr="00374227" w:rsidRDefault="00096B17" w:rsidP="005E5985">
          <w:pPr>
            <w:pStyle w:val="Header"/>
          </w:pPr>
        </w:p>
      </w:tc>
      <w:tc>
        <w:tcPr>
          <w:tcW w:w="3260" w:type="dxa"/>
          <w:shd w:val="clear" w:color="auto" w:fill="auto"/>
          <w:vAlign w:val="center"/>
        </w:tcPr>
        <w:p w14:paraId="3E8322BD" w14:textId="2D7B433C" w:rsidR="00096B17" w:rsidRPr="00374227" w:rsidRDefault="00096B17" w:rsidP="005E5985">
          <w:pPr>
            <w:pStyle w:val="Header"/>
            <w:spacing w:before="60"/>
            <w:rPr>
              <w:rFonts w:ascii="Arial" w:hAnsi="Arial" w:cs="Arial"/>
              <w:b/>
              <w:szCs w:val="22"/>
            </w:rPr>
          </w:pPr>
        </w:p>
      </w:tc>
    </w:tr>
  </w:tbl>
  <w:p w14:paraId="3E8322BF" w14:textId="77777777" w:rsidR="00096B17" w:rsidRPr="0021114E" w:rsidRDefault="00096B1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096B17" w:rsidRDefault="00096B17" w:rsidP="005E5985">
    <w:pPr>
      <w:pStyle w:val="Header"/>
      <w:rPr>
        <w:sz w:val="2"/>
      </w:rPr>
    </w:pPr>
  </w:p>
  <w:p w14:paraId="3E8322C2" w14:textId="77777777" w:rsidR="00096B17" w:rsidRDefault="00096B17" w:rsidP="005E59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096B17" w:rsidRPr="001D2C76" w14:paraId="3E8322C5" w14:textId="77777777" w:rsidTr="005E5985">
      <w:tc>
        <w:tcPr>
          <w:tcW w:w="6062" w:type="dxa"/>
          <w:vMerge w:val="restart"/>
        </w:tcPr>
        <w:p w14:paraId="3E8322C3" w14:textId="77777777" w:rsidR="00096B17" w:rsidRDefault="00096B17" w:rsidP="005E5985">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096B17" w:rsidRPr="001D2C76" w:rsidRDefault="00096B17" w:rsidP="005E5985">
          <w:pPr>
            <w:pStyle w:val="Header"/>
            <w:rPr>
              <w:b/>
            </w:rPr>
          </w:pPr>
          <w:r>
            <w:rPr>
              <w:rFonts w:ascii="Arial" w:hAnsi="Arial" w:cs="Arial"/>
              <w:b/>
              <w:sz w:val="24"/>
              <w:szCs w:val="24"/>
            </w:rPr>
            <w:t>Meeting title</w:t>
          </w:r>
        </w:p>
      </w:tc>
    </w:tr>
    <w:tr w:rsidR="00096B17" w14:paraId="3E8322C8" w14:textId="77777777" w:rsidTr="005E5985">
      <w:trPr>
        <w:trHeight w:val="450"/>
      </w:trPr>
      <w:tc>
        <w:tcPr>
          <w:tcW w:w="6062" w:type="dxa"/>
          <w:vMerge/>
        </w:tcPr>
        <w:p w14:paraId="3E8322C6" w14:textId="77777777" w:rsidR="00096B17" w:rsidRDefault="00096B17" w:rsidP="005E5985">
          <w:pPr>
            <w:pStyle w:val="Header"/>
          </w:pPr>
        </w:p>
      </w:tc>
      <w:tc>
        <w:tcPr>
          <w:tcW w:w="3225" w:type="dxa"/>
        </w:tcPr>
        <w:p w14:paraId="3E8322C7" w14:textId="77777777" w:rsidR="00096B17" w:rsidRDefault="00096B17" w:rsidP="005E5985">
          <w:pPr>
            <w:pStyle w:val="Header"/>
            <w:spacing w:before="60"/>
          </w:pPr>
          <w:r>
            <w:rPr>
              <w:rFonts w:ascii="Arial" w:hAnsi="Arial" w:cs="Arial"/>
              <w:sz w:val="24"/>
              <w:szCs w:val="24"/>
            </w:rPr>
            <w:t xml:space="preserve">Meeting date </w:t>
          </w:r>
        </w:p>
      </w:tc>
    </w:tr>
    <w:tr w:rsidR="00096B17" w14:paraId="3E8322CC" w14:textId="77777777" w:rsidTr="005E5985">
      <w:trPr>
        <w:trHeight w:val="450"/>
      </w:trPr>
      <w:tc>
        <w:tcPr>
          <w:tcW w:w="6062" w:type="dxa"/>
          <w:vMerge/>
        </w:tcPr>
        <w:p w14:paraId="3E8322C9" w14:textId="77777777" w:rsidR="00096B17" w:rsidRDefault="00096B17" w:rsidP="005E5985">
          <w:pPr>
            <w:pStyle w:val="Header"/>
          </w:pPr>
        </w:p>
      </w:tc>
      <w:tc>
        <w:tcPr>
          <w:tcW w:w="3225" w:type="dxa"/>
        </w:tcPr>
        <w:p w14:paraId="3E8322CA" w14:textId="77777777" w:rsidR="00096B17" w:rsidRDefault="00096B17" w:rsidP="005E5985">
          <w:pPr>
            <w:pStyle w:val="Header"/>
            <w:spacing w:before="60"/>
            <w:rPr>
              <w:rFonts w:ascii="Arial" w:hAnsi="Arial" w:cs="Arial"/>
              <w:b/>
              <w:sz w:val="24"/>
              <w:szCs w:val="24"/>
            </w:rPr>
          </w:pPr>
        </w:p>
        <w:p w14:paraId="3E8322CB" w14:textId="77777777" w:rsidR="00096B17" w:rsidRPr="00546D0D" w:rsidRDefault="00096B17" w:rsidP="005E5985">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096B17" w:rsidRDefault="00096B17" w:rsidP="005E59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90B"/>
    <w:multiLevelType w:val="multilevel"/>
    <w:tmpl w:val="CF64E27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681582"/>
    <w:multiLevelType w:val="hybridMultilevel"/>
    <w:tmpl w:val="1EBC96D4"/>
    <w:lvl w:ilvl="0" w:tplc="D8C8F64A">
      <w:start w:val="1"/>
      <w:numFmt w:val="decimal"/>
      <w:lvlText w:val="%1."/>
      <w:lvlJc w:val="left"/>
      <w:pPr>
        <w:ind w:left="720" w:hanging="360"/>
      </w:pPr>
      <w:rPr>
        <w:rFonts w:hint="default"/>
        <w:i w:val="0"/>
        <w:sz w:val="22"/>
        <w:szCs w:val="22"/>
      </w:rPr>
    </w:lvl>
    <w:lvl w:ilvl="1" w:tplc="339EC21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4E06"/>
    <w:multiLevelType w:val="multilevel"/>
    <w:tmpl w:val="BCC201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1159C0"/>
    <w:multiLevelType w:val="hybridMultilevel"/>
    <w:tmpl w:val="BDFAA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5AB49F5"/>
    <w:multiLevelType w:val="multilevel"/>
    <w:tmpl w:val="B9E878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DB09E6"/>
    <w:multiLevelType w:val="multilevel"/>
    <w:tmpl w:val="BEC2A2C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DF149B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96B17"/>
    <w:rsid w:val="000D312E"/>
    <w:rsid w:val="00105469"/>
    <w:rsid w:val="00110506"/>
    <w:rsid w:val="00122698"/>
    <w:rsid w:val="00173372"/>
    <w:rsid w:val="001B36CE"/>
    <w:rsid w:val="002001B3"/>
    <w:rsid w:val="00243DF2"/>
    <w:rsid w:val="002634A5"/>
    <w:rsid w:val="002664B3"/>
    <w:rsid w:val="002A72E2"/>
    <w:rsid w:val="002D22F3"/>
    <w:rsid w:val="002D76FC"/>
    <w:rsid w:val="00314B39"/>
    <w:rsid w:val="00360A37"/>
    <w:rsid w:val="0037335A"/>
    <w:rsid w:val="003E213B"/>
    <w:rsid w:val="003E4442"/>
    <w:rsid w:val="004431E9"/>
    <w:rsid w:val="004A0786"/>
    <w:rsid w:val="004B4300"/>
    <w:rsid w:val="004D7455"/>
    <w:rsid w:val="00532B8F"/>
    <w:rsid w:val="00545729"/>
    <w:rsid w:val="005E5985"/>
    <w:rsid w:val="00612E8B"/>
    <w:rsid w:val="00622569"/>
    <w:rsid w:val="006440C1"/>
    <w:rsid w:val="00656ED5"/>
    <w:rsid w:val="00820FF5"/>
    <w:rsid w:val="00841D53"/>
    <w:rsid w:val="00891AE9"/>
    <w:rsid w:val="0096516C"/>
    <w:rsid w:val="00992E96"/>
    <w:rsid w:val="009A6F7A"/>
    <w:rsid w:val="00A055A8"/>
    <w:rsid w:val="00A92E41"/>
    <w:rsid w:val="00AC5C26"/>
    <w:rsid w:val="00AF5371"/>
    <w:rsid w:val="00B14E17"/>
    <w:rsid w:val="00B23DA6"/>
    <w:rsid w:val="00B27F61"/>
    <w:rsid w:val="00B55F70"/>
    <w:rsid w:val="00B76280"/>
    <w:rsid w:val="00B80BE9"/>
    <w:rsid w:val="00BB565E"/>
    <w:rsid w:val="00C03562"/>
    <w:rsid w:val="00C46024"/>
    <w:rsid w:val="00C9570B"/>
    <w:rsid w:val="00D45B4D"/>
    <w:rsid w:val="00DF09AF"/>
    <w:rsid w:val="00E00C18"/>
    <w:rsid w:val="00E1448D"/>
    <w:rsid w:val="00ED60BA"/>
    <w:rsid w:val="00F06A68"/>
    <w:rsid w:val="00F61FB5"/>
    <w:rsid w:val="00F82574"/>
    <w:rsid w:val="00F91048"/>
    <w:rsid w:val="00FB3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FollowedHyperlink">
    <w:name w:val="FollowedHyperlink"/>
    <w:basedOn w:val="DefaultParagraphFont"/>
    <w:uiPriority w:val="99"/>
    <w:semiHidden/>
    <w:unhideWhenUsed/>
    <w:rsid w:val="00F06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ocal.gov.uk/sites/default/files/documents/njc%207%2017%20-%20pay%20claim%202017%20-%20final.pdf" TargetMode="External"/><Relationship Id="rId3" Type="http://schemas.openxmlformats.org/officeDocument/2006/relationships/customXml" Target="../customXml/item3.xml"/><Relationship Id="rId21" Type="http://schemas.openxmlformats.org/officeDocument/2006/relationships/hyperlink" Target="https://www.local.gov.uk/sites/default/files/documents/workforce%20-%20fire%20and%20rescue%20services%20joint%20circulars%20-%20njc-8-17%20IFSG%20strategies%20with%20survey.pdf" TargetMode="External"/><Relationship Id="rId7" Type="http://schemas.openxmlformats.org/officeDocument/2006/relationships/settings" Target="settings.xml"/><Relationship Id="rId12" Type="http://schemas.openxmlformats.org/officeDocument/2006/relationships/hyperlink" Target="mailto:clair.alcock@local.gov.uk" TargetMode="External"/><Relationship Id="rId17" Type="http://schemas.openxmlformats.org/officeDocument/2006/relationships/hyperlink" Target="http://tpr.gov.uk/docs/public-service-research-2017.pdf" TargetMode="External"/><Relationship Id="rId2" Type="http://schemas.openxmlformats.org/officeDocument/2006/relationships/customXml" Target="../customXml/item2.xml"/><Relationship Id="rId16" Type="http://schemas.openxmlformats.org/officeDocument/2006/relationships/hyperlink" Target="https://khub.net/group/firefighters-pension-scheme-local-pension-board-members-group-forum/forum/-/message_boards/message/33554222" TargetMode="External"/><Relationship Id="rId20" Type="http://schemas.openxmlformats.org/officeDocument/2006/relationships/hyperlink" Target="https://www.fbu.org.uk/circular/2017hoc0342mw/employers%E2%80%99-proposals-p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ill.gittins@local.gov.uk"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gov.uk/sites/default/files/documents/workforce%20-%20fire%20and%20rescue%20services%20-%20employers%20circulars%20-%20emp-5-17%20pay%20offer%2020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schemas.microsoft.com/office/2006/metadata/properties"/>
    <ds:schemaRef ds:uri="http://www.w3.org/XML/1998/namespace"/>
    <ds:schemaRef ds:uri="http://purl.org/dc/dcmitype/"/>
    <ds:schemaRef ds:uri="http://purl.org/dc/terms/"/>
    <ds:schemaRef ds:uri="c8febe6a-14d9-43ab-83c3-c48f478fa47c"/>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c8a0e75-f4bc-4eb4-8ed0-578eaea9e1ca"/>
  </ds:schemaRefs>
</ds:datastoreItem>
</file>

<file path=customXml/itemProps3.xml><?xml version="1.0" encoding="utf-8"?>
<ds:datastoreItem xmlns:ds="http://schemas.openxmlformats.org/officeDocument/2006/customXml" ds:itemID="{33940A7F-1736-4F64-8F00-4BF3CCDE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9D701-00A1-42CE-85B6-59CC5B9F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64995C73</Template>
  <TotalTime>26</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7</cp:revision>
  <dcterms:created xsi:type="dcterms:W3CDTF">2017-07-03T08:08:00Z</dcterms:created>
  <dcterms:modified xsi:type="dcterms:W3CDTF">2017-07-05T08:16:00Z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0x0101009A1AF0CA6366494B9D2AD5A54B67F253</vt:lpwstr>
  </property>
  <property fmtid="{D5CDD505-2E9C-101B-9397-08002B2CF9AE}" pid="3" name="LGA Template">
    <vt:lpwstr>Template</vt:lpwstr>
  </property>
</Properties>
</file>